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CDA5" w14:textId="77777777" w:rsidR="0003766F" w:rsidRDefault="00000000">
      <w:pPr>
        <w:pStyle w:val="Ttulo1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EDITAL DE LEILÃO ELETRÔNICO PARA CONHECIMENTO DAS PARTES E EVENTUAIS INTERESSADOS</w:t>
      </w:r>
    </w:p>
    <w:p w14:paraId="4B42352B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45FE80C5" w14:textId="77777777" w:rsidR="0003766F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A Doutora </w:t>
      </w:r>
      <w:r>
        <w:rPr>
          <w:b/>
          <w:sz w:val="24"/>
          <w:szCs w:val="24"/>
          <w:highlight w:val="white"/>
        </w:rPr>
        <w:t>Renata Soubhie Nogueira Borio</w:t>
      </w:r>
      <w:r>
        <w:rPr>
          <w:sz w:val="24"/>
          <w:szCs w:val="24"/>
          <w:highlight w:val="white"/>
        </w:rPr>
        <w:t xml:space="preserve"> Excelentíssima Juíza de Direito da 2ª Vara Cível do Foro Regional XI - Pinheiros/SP, faz saber a todos quanto este edital virem ou dele conhecimento tiver e possa interessar, nos termos d</w:t>
      </w:r>
      <w:r>
        <w:rPr>
          <w:sz w:val="24"/>
          <w:szCs w:val="24"/>
        </w:rPr>
        <w:t xml:space="preserve">o art. 882 e seguintes do Código de Processo Civil e regulamentado pelo provimento CSM nº 1625/2009 do Tribunal de Justiça do Estado de São Paulo, que será realizado leilão público pelo portal </w:t>
      </w:r>
      <w:r>
        <w:rPr>
          <w:b/>
          <w:sz w:val="24"/>
          <w:szCs w:val="24"/>
        </w:rPr>
        <w:t xml:space="preserve">DH LEILÕES </w:t>
      </w:r>
      <w:r>
        <w:rPr>
          <w:sz w:val="24"/>
          <w:szCs w:val="24"/>
        </w:rPr>
        <w:t xml:space="preserve">site </w:t>
      </w:r>
      <w:hyperlink r:id="rId8">
        <w:r>
          <w:rPr>
            <w:color w:val="0462C1"/>
            <w:sz w:val="24"/>
            <w:szCs w:val="24"/>
            <w:u w:val="single"/>
          </w:rPr>
          <w:t>www.dhleiloes.com.br</w:t>
        </w:r>
      </w:hyperlink>
    </w:p>
    <w:p w14:paraId="4F9EF0B7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1F856C95" w14:textId="4E3ABB1D" w:rsidR="000376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PROCESSO Nº:  </w:t>
      </w:r>
      <w:r>
        <w:rPr>
          <w:sz w:val="24"/>
          <w:szCs w:val="24"/>
          <w:highlight w:val="white"/>
        </w:rPr>
        <w:t>1011953-42.2022.8.26.0011</w:t>
      </w:r>
      <w:r>
        <w:rPr>
          <w:b/>
          <w:sz w:val="24"/>
          <w:szCs w:val="24"/>
          <w:highlight w:val="white"/>
        </w:rPr>
        <w:t xml:space="preserve"> –</w:t>
      </w:r>
      <w:r>
        <w:rPr>
          <w:sz w:val="24"/>
          <w:szCs w:val="24"/>
          <w:highlight w:val="white"/>
        </w:rPr>
        <w:t xml:space="preserve"> EXECUÇÃO DE TÍTULO EXTRAJUDICIAL - CONDOMÍNIO EM EDIFÍCIO</w:t>
      </w:r>
    </w:p>
    <w:p w14:paraId="5CA34A46" w14:textId="77777777" w:rsidR="0003766F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EXEQUENTE: </w:t>
      </w:r>
      <w:r>
        <w:rPr>
          <w:sz w:val="24"/>
          <w:szCs w:val="24"/>
          <w:highlight w:val="white"/>
        </w:rPr>
        <w:t>CONDOMÍNIO EDIFÍCIO SAN FRANCISCO GOLF TOWER (CNPJ Nº 57.126.484/0001-3)</w:t>
      </w:r>
    </w:p>
    <w:p w14:paraId="7F653778" w14:textId="77777777" w:rsidR="0003766F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EXECUTADO</w:t>
      </w:r>
      <w:r>
        <w:rPr>
          <w:sz w:val="24"/>
          <w:szCs w:val="24"/>
          <w:highlight w:val="white"/>
        </w:rPr>
        <w:t>: CARLOS ALBERTO DA ROCHA PIFFER (CPF Nº 76.314.868-75) e ROSANGELA ROSA PIFFER (CPF Nº 068.316.298-57)</w:t>
      </w:r>
    </w:p>
    <w:p w14:paraId="690DE0D7" w14:textId="52230C95" w:rsidR="0003766F" w:rsidRDefault="00000000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INTERESSADOS</w:t>
      </w:r>
      <w:r>
        <w:rPr>
          <w:sz w:val="24"/>
          <w:szCs w:val="24"/>
          <w:highlight w:val="white"/>
        </w:rPr>
        <w:t xml:space="preserve">: PREFEITURA DA CIDADE DE SÃO PAULO SECRETARIA MUNICIPAL DA FAZENDA; DIEGO SANTANA PIMENTEL </w:t>
      </w:r>
      <w:r w:rsidR="008F2EAD">
        <w:rPr>
          <w:sz w:val="24"/>
          <w:szCs w:val="24"/>
          <w:highlight w:val="white"/>
        </w:rPr>
        <w:t>(</w:t>
      </w:r>
      <w:r>
        <w:rPr>
          <w:sz w:val="24"/>
          <w:szCs w:val="24"/>
          <w:highlight w:val="white"/>
        </w:rPr>
        <w:t>CPF nº</w:t>
      </w:r>
      <w:r w:rsidR="008F2EAD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376.359.348-99</w:t>
      </w:r>
      <w:r w:rsidR="00E45199">
        <w:rPr>
          <w:sz w:val="24"/>
          <w:szCs w:val="24"/>
          <w:highlight w:val="white"/>
        </w:rPr>
        <w:t>)</w:t>
      </w:r>
      <w:r>
        <w:rPr>
          <w:sz w:val="24"/>
          <w:szCs w:val="24"/>
          <w:highlight w:val="white"/>
        </w:rPr>
        <w:t>; SURF CO LTDA (CNPJ Nº 53.356.259/0001-36)</w:t>
      </w:r>
      <w:r w:rsidR="00E45199">
        <w:rPr>
          <w:sz w:val="24"/>
          <w:szCs w:val="24"/>
          <w:highlight w:val="white"/>
        </w:rPr>
        <w:t>;</w:t>
      </w:r>
      <w:r>
        <w:rPr>
          <w:sz w:val="24"/>
          <w:szCs w:val="24"/>
          <w:highlight w:val="white"/>
        </w:rPr>
        <w:t xml:space="preserve"> e IMOBILIÁRIA BIZULA LTDA (CNPJ n.º 12.423.212/0001-60).</w:t>
      </w:r>
    </w:p>
    <w:p w14:paraId="547787D3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8A27CD4" w14:textId="38E762FB" w:rsidR="0003766F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z w:val="24"/>
          <w:szCs w:val="24"/>
          <w:highlight w:val="white"/>
        </w:rPr>
        <w:t xml:space="preserve">ATAS - 1ª PRAÇA </w:t>
      </w:r>
      <w:r>
        <w:rPr>
          <w:sz w:val="24"/>
          <w:szCs w:val="24"/>
          <w:highlight w:val="white"/>
        </w:rPr>
        <w:t xml:space="preserve">que ocorrerá a partir de </w:t>
      </w:r>
      <w:r w:rsidR="0097336C">
        <w:rPr>
          <w:b/>
          <w:sz w:val="24"/>
          <w:szCs w:val="24"/>
          <w:highlight w:val="white"/>
        </w:rPr>
        <w:t>06</w:t>
      </w:r>
      <w:r>
        <w:rPr>
          <w:b/>
          <w:sz w:val="24"/>
          <w:szCs w:val="24"/>
          <w:highlight w:val="white"/>
        </w:rPr>
        <w:t xml:space="preserve"> de </w:t>
      </w:r>
      <w:r w:rsidR="0097336C">
        <w:rPr>
          <w:b/>
          <w:sz w:val="24"/>
          <w:szCs w:val="24"/>
          <w:highlight w:val="white"/>
        </w:rPr>
        <w:t>maio</w:t>
      </w:r>
      <w:r>
        <w:rPr>
          <w:b/>
          <w:sz w:val="24"/>
          <w:szCs w:val="24"/>
          <w:highlight w:val="white"/>
        </w:rPr>
        <w:t xml:space="preserve"> de 2024 </w:t>
      </w:r>
      <w:r>
        <w:rPr>
          <w:sz w:val="24"/>
          <w:szCs w:val="24"/>
          <w:highlight w:val="white"/>
        </w:rPr>
        <w:t>às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14h00min e se encerrará em </w:t>
      </w:r>
      <w:r w:rsidR="0097336C">
        <w:rPr>
          <w:b/>
          <w:sz w:val="24"/>
          <w:szCs w:val="24"/>
          <w:highlight w:val="white"/>
        </w:rPr>
        <w:t>09</w:t>
      </w:r>
      <w:r>
        <w:rPr>
          <w:b/>
          <w:sz w:val="24"/>
          <w:szCs w:val="24"/>
          <w:highlight w:val="white"/>
        </w:rPr>
        <w:t xml:space="preserve"> de </w:t>
      </w:r>
      <w:r w:rsidR="0097336C">
        <w:rPr>
          <w:b/>
          <w:sz w:val="24"/>
          <w:szCs w:val="24"/>
          <w:highlight w:val="white"/>
        </w:rPr>
        <w:t>maio</w:t>
      </w:r>
      <w:r>
        <w:rPr>
          <w:b/>
          <w:sz w:val="24"/>
          <w:szCs w:val="24"/>
          <w:highlight w:val="white"/>
        </w:rPr>
        <w:t xml:space="preserve"> de 2024</w:t>
      </w:r>
      <w:r>
        <w:rPr>
          <w:sz w:val="24"/>
          <w:szCs w:val="24"/>
          <w:highlight w:val="white"/>
        </w:rPr>
        <w:t xml:space="preserve">, às 14h00min. Não havendo lance igual ou superior ao valor de avaliação nos três dias subsequentes ao início da 1ª Praça, a </w:t>
      </w:r>
      <w:r>
        <w:rPr>
          <w:b/>
          <w:sz w:val="24"/>
          <w:szCs w:val="24"/>
          <w:highlight w:val="white"/>
        </w:rPr>
        <w:t xml:space="preserve">2ª PRAÇA </w:t>
      </w:r>
      <w:r>
        <w:rPr>
          <w:sz w:val="24"/>
          <w:szCs w:val="24"/>
          <w:highlight w:val="white"/>
        </w:rPr>
        <w:t xml:space="preserve">seguir-se-á sem interrupção, iniciando-se em </w:t>
      </w:r>
      <w:r w:rsidR="0097336C">
        <w:rPr>
          <w:b/>
          <w:sz w:val="24"/>
          <w:szCs w:val="24"/>
          <w:highlight w:val="white"/>
        </w:rPr>
        <w:t>09</w:t>
      </w:r>
      <w:r>
        <w:rPr>
          <w:b/>
          <w:sz w:val="24"/>
          <w:szCs w:val="24"/>
          <w:highlight w:val="white"/>
        </w:rPr>
        <w:t xml:space="preserve"> de </w:t>
      </w:r>
      <w:r w:rsidR="0097336C">
        <w:rPr>
          <w:b/>
          <w:sz w:val="24"/>
          <w:szCs w:val="24"/>
          <w:highlight w:val="white"/>
        </w:rPr>
        <w:t>maio</w:t>
      </w:r>
      <w:r>
        <w:rPr>
          <w:b/>
          <w:sz w:val="24"/>
          <w:szCs w:val="24"/>
          <w:highlight w:val="white"/>
        </w:rPr>
        <w:t xml:space="preserve"> de 2024</w:t>
      </w:r>
      <w:r>
        <w:rPr>
          <w:sz w:val="24"/>
          <w:szCs w:val="24"/>
          <w:highlight w:val="white"/>
        </w:rPr>
        <w:t xml:space="preserve">, às 14h01min e se encerrará em </w:t>
      </w:r>
      <w:r w:rsidR="0097336C">
        <w:rPr>
          <w:b/>
          <w:sz w:val="24"/>
          <w:szCs w:val="24"/>
          <w:highlight w:val="white"/>
        </w:rPr>
        <w:t>29</w:t>
      </w:r>
      <w:r>
        <w:rPr>
          <w:b/>
          <w:sz w:val="24"/>
          <w:szCs w:val="24"/>
          <w:highlight w:val="white"/>
        </w:rPr>
        <w:t xml:space="preserve"> de maio de 2024</w:t>
      </w:r>
      <w:r>
        <w:rPr>
          <w:sz w:val="24"/>
          <w:szCs w:val="24"/>
          <w:highlight w:val="white"/>
        </w:rPr>
        <w:t>, às 14h00min. O valor mínimo para venda em 2ª Praça corresponderá a</w:t>
      </w:r>
      <w:r>
        <w:rPr>
          <w:b/>
          <w:sz w:val="24"/>
          <w:szCs w:val="24"/>
          <w:highlight w:val="white"/>
        </w:rPr>
        <w:t xml:space="preserve"> 60% (sessenta por cento) </w:t>
      </w:r>
      <w:r>
        <w:rPr>
          <w:sz w:val="24"/>
          <w:szCs w:val="24"/>
          <w:highlight w:val="white"/>
        </w:rPr>
        <w:t>do valor da avaliação judicial atualizada. O sistema estará disponível para recepção de lances com, no mínimo, 5 (cinco) dias de antecedência do início do leilão (art. 11, da Resolução 236/2016 do CNJ e 887, § 1º do CPC)</w:t>
      </w:r>
      <w:r>
        <w:rPr>
          <w:sz w:val="24"/>
          <w:szCs w:val="24"/>
        </w:rPr>
        <w:t>.</w:t>
      </w:r>
    </w:p>
    <w:p w14:paraId="5C9B75F4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53090089" w14:textId="7200F69C" w:rsidR="0003766F" w:rsidRPr="0097336C" w:rsidRDefault="00000000" w:rsidP="0097336C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DESCRIÇÃO DO BEM –</w:t>
      </w:r>
      <w:r>
        <w:rPr>
          <w:sz w:val="24"/>
          <w:szCs w:val="24"/>
          <w:highlight w:val="white"/>
        </w:rPr>
        <w:t xml:space="preserve"> </w:t>
      </w:r>
      <w:r w:rsidRPr="0097336C">
        <w:rPr>
          <w:sz w:val="24"/>
          <w:szCs w:val="24"/>
          <w:u w:val="single"/>
        </w:rPr>
        <w:t>APARTAMENTO número 62 localizado no 6º andar do EDIFÍCIO SAN FRANCISCO GOLF TOWER, situado à RUA AIRES MARTINS TORRES número 190, no 13º Subdistrito Butantã</w:t>
      </w:r>
      <w:r>
        <w:rPr>
          <w:sz w:val="24"/>
          <w:szCs w:val="24"/>
        </w:rPr>
        <w:t xml:space="preserve">, com a área real privativa de 166,95m2, a área real comum de divisão não proporcional de 70,42 m2, correspondente a 01 vaga indeterminada na garagem, para a guarda de 02 carros de passeio, mais a área real comum de divisão proporcional de 114,464m2, perfazendo a área real total de 351,834m2,correspondendo-lhe a fração ideal de 5,8559%. </w:t>
      </w:r>
      <w:r>
        <w:rPr>
          <w:b/>
          <w:sz w:val="24"/>
          <w:szCs w:val="24"/>
          <w:highlight w:val="white"/>
        </w:rPr>
        <w:t xml:space="preserve">LOCALIZAÇÃO: </w:t>
      </w:r>
      <w:r>
        <w:rPr>
          <w:sz w:val="24"/>
          <w:szCs w:val="24"/>
        </w:rPr>
        <w:t>Rua: Aires Martins Torres , n</w:t>
      </w:r>
      <w:r w:rsidR="0097336C">
        <w:rPr>
          <w:sz w:val="24"/>
          <w:szCs w:val="24"/>
        </w:rPr>
        <w:t>º</w:t>
      </w:r>
      <w:r>
        <w:rPr>
          <w:sz w:val="24"/>
          <w:szCs w:val="24"/>
        </w:rPr>
        <w:t xml:space="preserve"> 190 – apt. 62 - Butanta</w:t>
      </w:r>
      <w:r>
        <w:rPr>
          <w:sz w:val="24"/>
          <w:szCs w:val="24"/>
          <w:highlight w:val="white"/>
        </w:rPr>
        <w:t>.</w:t>
      </w:r>
      <w:r w:rsidR="0097336C">
        <w:rPr>
          <w:sz w:val="24"/>
          <w:szCs w:val="24"/>
          <w:highlight w:val="white"/>
        </w:rPr>
        <w:t xml:space="preserve"> </w:t>
      </w:r>
      <w:r w:rsidR="0097336C" w:rsidRPr="0097336C">
        <w:rPr>
          <w:b/>
          <w:bCs/>
          <w:sz w:val="24"/>
          <w:szCs w:val="24"/>
          <w:highlight w:val="white"/>
        </w:rPr>
        <w:t>LAUDO DE AVALIAÇÃO</w:t>
      </w:r>
      <w:r w:rsidR="0097336C">
        <w:rPr>
          <w:sz w:val="24"/>
          <w:szCs w:val="24"/>
          <w:highlight w:val="white"/>
        </w:rPr>
        <w:t xml:space="preserve">: </w:t>
      </w:r>
      <w:r w:rsidR="0097336C" w:rsidRPr="0097336C">
        <w:rPr>
          <w:sz w:val="24"/>
          <w:szCs w:val="24"/>
        </w:rPr>
        <w:t>O edificio oferece nas áreas comuns: salão de festas, sala jogos, academia,</w:t>
      </w:r>
      <w:r w:rsidR="0097336C">
        <w:rPr>
          <w:sz w:val="24"/>
          <w:szCs w:val="24"/>
        </w:rPr>
        <w:t xml:space="preserve"> </w:t>
      </w:r>
      <w:r w:rsidR="0097336C" w:rsidRPr="0097336C">
        <w:rPr>
          <w:sz w:val="24"/>
          <w:szCs w:val="24"/>
        </w:rPr>
        <w:t xml:space="preserve">churrasqueira e espaço livre tipo pátio aos fundos do terreno. </w:t>
      </w:r>
      <w:r w:rsidR="0097336C" w:rsidRPr="0097336C">
        <w:rPr>
          <w:sz w:val="24"/>
          <w:szCs w:val="24"/>
        </w:rPr>
        <w:lastRenderedPageBreak/>
        <w:t>O imóvel possui os seguintes ambientes: sala estar / sala jantar; cozinha; despensa; área serviço; wc empreg. + quarto empreg.; 02 dormitórios; 01 banheiro social; 01 suíte com closet; sala tv. O imóvel possui 02 vagas de garagem no 1ss.</w:t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 xml:space="preserve">CONTRIBUINTE nº </w:t>
      </w:r>
      <w:r>
        <w:rPr>
          <w:sz w:val="24"/>
          <w:szCs w:val="24"/>
          <w:highlight w:val="white"/>
        </w:rPr>
        <w:t>079.670.0285-7</w:t>
      </w:r>
      <w:r>
        <w:rPr>
          <w:b/>
          <w:sz w:val="24"/>
          <w:szCs w:val="24"/>
          <w:highlight w:val="white"/>
        </w:rPr>
        <w:t xml:space="preserve"> MATRÍCULA  nº </w:t>
      </w:r>
      <w:r>
        <w:rPr>
          <w:sz w:val="24"/>
          <w:szCs w:val="24"/>
        </w:rPr>
        <w:t xml:space="preserve">143.465 DO 18º CARTÓRIO DE REGISTRO DE IMÓVEIS DA COMARCA DE SÃO PAULO/SP. </w:t>
      </w:r>
      <w:r>
        <w:rPr>
          <w:b/>
          <w:sz w:val="24"/>
          <w:szCs w:val="24"/>
          <w:highlight w:val="white"/>
        </w:rPr>
        <w:t xml:space="preserve">AVALIAÇÃO DO BEM - </w:t>
      </w:r>
      <w:r>
        <w:rPr>
          <w:sz w:val="24"/>
          <w:szCs w:val="24"/>
          <w:highlight w:val="white"/>
        </w:rPr>
        <w:t xml:space="preserve">R$ </w:t>
      </w:r>
      <w:r>
        <w:rPr>
          <w:sz w:val="24"/>
          <w:szCs w:val="24"/>
        </w:rPr>
        <w:t>1.225.000,00 (um milhão</w:t>
      </w:r>
      <w:r w:rsidR="0097336C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duzentos e vinte e cinco mil reais)</w:t>
      </w:r>
      <w:r>
        <w:rPr>
          <w:sz w:val="24"/>
          <w:szCs w:val="24"/>
          <w:highlight w:val="white"/>
        </w:rPr>
        <w:t xml:space="preserve">, de acordo com a avaliação de fls. </w:t>
      </w:r>
      <w:r w:rsidR="0097336C">
        <w:rPr>
          <w:sz w:val="24"/>
          <w:szCs w:val="24"/>
          <w:highlight w:val="white"/>
        </w:rPr>
        <w:t>830</w:t>
      </w:r>
      <w:r>
        <w:rPr>
          <w:sz w:val="24"/>
          <w:szCs w:val="24"/>
          <w:highlight w:val="white"/>
        </w:rPr>
        <w:t xml:space="preserve"> em março de 2022 e </w:t>
      </w:r>
      <w:r>
        <w:rPr>
          <w:b/>
          <w:sz w:val="24"/>
          <w:szCs w:val="24"/>
          <w:highlight w:val="white"/>
        </w:rPr>
        <w:t>R$ 1.331.127,63 (um milhão</w:t>
      </w:r>
      <w:r w:rsidR="0097336C">
        <w:rPr>
          <w:b/>
          <w:sz w:val="24"/>
          <w:szCs w:val="24"/>
          <w:highlight w:val="white"/>
        </w:rPr>
        <w:t>,</w:t>
      </w:r>
      <w:r>
        <w:rPr>
          <w:b/>
          <w:sz w:val="24"/>
          <w:szCs w:val="24"/>
          <w:highlight w:val="white"/>
        </w:rPr>
        <w:t xml:space="preserve"> trezentos e trinta e um mil</w:t>
      </w:r>
      <w:r w:rsidR="0097336C">
        <w:rPr>
          <w:b/>
          <w:sz w:val="24"/>
          <w:szCs w:val="24"/>
          <w:highlight w:val="white"/>
        </w:rPr>
        <w:t xml:space="preserve">, </w:t>
      </w:r>
      <w:r>
        <w:rPr>
          <w:b/>
          <w:sz w:val="24"/>
          <w:szCs w:val="24"/>
          <w:highlight w:val="white"/>
        </w:rPr>
        <w:t xml:space="preserve">cento e vinte e sete reais e sessenta e três centavos) </w:t>
      </w:r>
      <w:r>
        <w:rPr>
          <w:sz w:val="24"/>
          <w:szCs w:val="24"/>
          <w:highlight w:val="white"/>
        </w:rPr>
        <w:t xml:space="preserve">atualizado até </w:t>
      </w:r>
      <w:r>
        <w:rPr>
          <w:b/>
          <w:sz w:val="24"/>
          <w:szCs w:val="24"/>
          <w:highlight w:val="white"/>
        </w:rPr>
        <w:t>março de 2024.</w:t>
      </w:r>
    </w:p>
    <w:p w14:paraId="1B665B04" w14:textId="77777777" w:rsidR="0003766F" w:rsidRDefault="0003766F">
      <w:pPr>
        <w:spacing w:after="0" w:line="276" w:lineRule="auto"/>
        <w:jc w:val="both"/>
        <w:rPr>
          <w:sz w:val="24"/>
          <w:szCs w:val="24"/>
        </w:rPr>
      </w:pPr>
    </w:p>
    <w:p w14:paraId="40BE7ABA" w14:textId="77777777" w:rsidR="0003766F" w:rsidRDefault="00000000">
      <w:pPr>
        <w:spacing w:after="0" w:line="276" w:lineRule="auto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DÉBITO DA DEMANDA PROCESSUAL – </w:t>
      </w:r>
      <w:r>
        <w:rPr>
          <w:sz w:val="24"/>
          <w:szCs w:val="24"/>
          <w:highlight w:val="white"/>
        </w:rPr>
        <w:t xml:space="preserve">R$ </w:t>
      </w:r>
      <w:r>
        <w:rPr>
          <w:sz w:val="24"/>
          <w:szCs w:val="24"/>
        </w:rPr>
        <w:t xml:space="preserve"> 65.230,34 </w:t>
      </w:r>
      <w:r>
        <w:rPr>
          <w:sz w:val="24"/>
          <w:szCs w:val="24"/>
          <w:highlight w:val="white"/>
        </w:rPr>
        <w:t xml:space="preserve"> (dezessete mil e setecentos e cinquenta e cinco reais e setenta e cinco centavos sessenta e cinco mil e duzentos e trinta reais e trinta e quatro centavos) em fevereiro/2024 .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A atualização dos débitos vencidos e vincendos compete ao exequente disponibilizar nos autos.</w:t>
      </w:r>
    </w:p>
    <w:p w14:paraId="6676F5FA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7CC771CD" w14:textId="1CEA8509" w:rsidR="000376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</w:rPr>
        <w:t xml:space="preserve">ÔNUS – </w:t>
      </w:r>
      <w:r>
        <w:rPr>
          <w:sz w:val="24"/>
          <w:szCs w:val="24"/>
          <w:highlight w:val="white"/>
        </w:rPr>
        <w:t xml:space="preserve">Consta na </w:t>
      </w:r>
      <w:r>
        <w:rPr>
          <w:b/>
          <w:sz w:val="24"/>
          <w:szCs w:val="24"/>
          <w:highlight w:val="white"/>
        </w:rPr>
        <w:t xml:space="preserve">AV.06 </w:t>
      </w:r>
      <w:r>
        <w:rPr>
          <w:sz w:val="24"/>
          <w:szCs w:val="24"/>
          <w:highlight w:val="white"/>
        </w:rPr>
        <w:t xml:space="preserve">Penhora oriundas do Processo nº 10925936120198260100, em trâmite na 43ª Vara Cível da Comarca de São Paulo/SP, requerida por SURF CO. LTDA;  </w:t>
      </w:r>
      <w:r>
        <w:rPr>
          <w:b/>
          <w:sz w:val="24"/>
          <w:szCs w:val="24"/>
          <w:highlight w:val="white"/>
        </w:rPr>
        <w:t xml:space="preserve">AV.08 </w:t>
      </w:r>
      <w:r>
        <w:rPr>
          <w:sz w:val="24"/>
          <w:szCs w:val="24"/>
          <w:highlight w:val="white"/>
        </w:rPr>
        <w:t xml:space="preserve">Penhora oriundas do Processo nº 1012621-87.2018.826.0161, em trâmite na 2ª Vara Cível do Foro da Comarca de Diadema/SP,requerida por ITAÚ UNIBANCO S/A; </w:t>
      </w:r>
      <w:r>
        <w:rPr>
          <w:b/>
          <w:sz w:val="24"/>
          <w:szCs w:val="24"/>
          <w:highlight w:val="white"/>
        </w:rPr>
        <w:t>AV.09</w:t>
      </w:r>
      <w:r>
        <w:rPr>
          <w:sz w:val="24"/>
          <w:szCs w:val="24"/>
          <w:highlight w:val="white"/>
        </w:rPr>
        <w:t xml:space="preserve"> Indisponibilidade oriunda do Processo nº 1002911720175020511, </w:t>
      </w:r>
      <w:r>
        <w:rPr>
          <w:b/>
          <w:sz w:val="24"/>
          <w:szCs w:val="24"/>
          <w:highlight w:val="white"/>
        </w:rPr>
        <w:t>AV.10</w:t>
      </w:r>
      <w:r>
        <w:rPr>
          <w:sz w:val="24"/>
          <w:szCs w:val="24"/>
          <w:highlight w:val="white"/>
        </w:rPr>
        <w:t xml:space="preserve"> Indisponibilidade oriunda do Processo nº 1000625-25.2015.5.02.0385, Consta na </w:t>
      </w:r>
      <w:r>
        <w:rPr>
          <w:b/>
          <w:sz w:val="24"/>
          <w:szCs w:val="24"/>
          <w:highlight w:val="white"/>
        </w:rPr>
        <w:t>AV.11</w:t>
      </w:r>
      <w:r>
        <w:rPr>
          <w:sz w:val="24"/>
          <w:szCs w:val="24"/>
          <w:highlight w:val="white"/>
        </w:rPr>
        <w:t xml:space="preserve"> Penhora oriunda do Processo nº 1005967-70.2019.8.26.0704, em trâmite na 1ªVara Cível do Foro Regional do Butantã/SP. </w:t>
      </w:r>
      <w:r>
        <w:rPr>
          <w:b/>
          <w:sz w:val="24"/>
          <w:szCs w:val="24"/>
          <w:highlight w:val="white"/>
        </w:rPr>
        <w:t>AV.13</w:t>
      </w:r>
      <w:r>
        <w:rPr>
          <w:sz w:val="24"/>
          <w:szCs w:val="24"/>
          <w:highlight w:val="white"/>
        </w:rPr>
        <w:t xml:space="preserve"> Indisponibilidade oriunda do Processo nº1001316-12.2019.5.02.0381; </w:t>
      </w:r>
      <w:r>
        <w:rPr>
          <w:b/>
          <w:sz w:val="24"/>
          <w:szCs w:val="24"/>
          <w:highlight w:val="white"/>
        </w:rPr>
        <w:t xml:space="preserve">AV.14 </w:t>
      </w:r>
      <w:r>
        <w:rPr>
          <w:sz w:val="24"/>
          <w:szCs w:val="24"/>
          <w:highlight w:val="white"/>
        </w:rPr>
        <w:t xml:space="preserve">Penhora exequenda; </w:t>
      </w:r>
      <w:r>
        <w:rPr>
          <w:b/>
          <w:sz w:val="24"/>
          <w:szCs w:val="24"/>
          <w:highlight w:val="white"/>
        </w:rPr>
        <w:t>AV.15</w:t>
      </w:r>
      <w:r>
        <w:rPr>
          <w:sz w:val="24"/>
          <w:szCs w:val="24"/>
          <w:highlight w:val="white"/>
        </w:rPr>
        <w:t xml:space="preserve"> indisponibilidade oriunda do Processo nº 1001653-93.2020.5.02.0242. </w:t>
      </w:r>
      <w:r>
        <w:rPr>
          <w:b/>
          <w:sz w:val="24"/>
          <w:szCs w:val="24"/>
          <w:highlight w:val="white"/>
        </w:rPr>
        <w:t xml:space="preserve">OBSERVAÇÃO: </w:t>
      </w:r>
      <w:r>
        <w:rPr>
          <w:sz w:val="24"/>
          <w:szCs w:val="24"/>
          <w:highlight w:val="white"/>
        </w:rPr>
        <w:t xml:space="preserve">Em consulta realizada ao site da Prefeitura Municipal de São Paulo em março de 2024, constam débitos tributários em aberto, valor devido atualizado para exercício 2023 de R$ 9.899,41 (nove mil e oitocentos e noventa e nove reais e quarenta e um centavos), </w:t>
      </w:r>
      <w:r>
        <w:rPr>
          <w:sz w:val="24"/>
          <w:szCs w:val="24"/>
        </w:rPr>
        <w:t>valor devido atualizado para exercício 2024 de  R$</w:t>
      </w:r>
      <w:r w:rsidR="00574BD3">
        <w:rPr>
          <w:sz w:val="24"/>
          <w:szCs w:val="24"/>
        </w:rPr>
        <w:t xml:space="preserve"> </w:t>
      </w:r>
      <w:r>
        <w:rPr>
          <w:sz w:val="24"/>
          <w:szCs w:val="24"/>
        </w:rPr>
        <w:t>7.838,05</w:t>
      </w:r>
      <w:r>
        <w:rPr>
          <w:sz w:val="24"/>
          <w:szCs w:val="24"/>
          <w:highlight w:val="white"/>
        </w:rPr>
        <w:t xml:space="preserve"> ( sete mil e oitocentos e trinta e oito reais e cinco centavos) e valor total de dívidas ativa de R$ </w:t>
      </w:r>
      <w:r>
        <w:rPr>
          <w:sz w:val="24"/>
          <w:szCs w:val="24"/>
        </w:rPr>
        <w:t>56.386,56 (cinquenta e seis mil e trezentos e oitenta e seis reais e cinquenta e seis centavos)</w:t>
      </w:r>
      <w:r w:rsidR="00574BD3">
        <w:rPr>
          <w:sz w:val="24"/>
          <w:szCs w:val="24"/>
        </w:rPr>
        <w:t>.</w:t>
      </w:r>
      <w:r w:rsidR="00574BD3" w:rsidRPr="00574BD3">
        <w:t xml:space="preserve"> </w:t>
      </w:r>
      <w:r w:rsidR="00574BD3" w:rsidRPr="00574BD3">
        <w:rPr>
          <w:i/>
          <w:iCs/>
          <w:sz w:val="24"/>
          <w:szCs w:val="24"/>
          <w:u w:val="single"/>
        </w:rPr>
        <w:t>E</w:t>
      </w:r>
      <w:r w:rsidR="00574BD3" w:rsidRPr="00574BD3">
        <w:rPr>
          <w:i/>
          <w:iCs/>
          <w:sz w:val="24"/>
          <w:szCs w:val="24"/>
          <w:u w:val="single"/>
        </w:rPr>
        <w:t>ventuais débitos pendentes sobre o imóvel alienado e não pagos por meio desta ação judicial deverão ser suportados pelo arrematante</w:t>
      </w:r>
      <w:r w:rsidR="00574BD3">
        <w:rPr>
          <w:i/>
          <w:iCs/>
          <w:sz w:val="24"/>
          <w:szCs w:val="24"/>
          <w:u w:val="single"/>
        </w:rPr>
        <w:t>.</w:t>
      </w:r>
    </w:p>
    <w:p w14:paraId="0A65BA97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  <w:highlight w:val="white"/>
        </w:rPr>
      </w:pPr>
    </w:p>
    <w:p w14:paraId="7BB3E2BB" w14:textId="77777777" w:rsidR="0003766F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MEAÇÃO - </w:t>
      </w:r>
      <w:r>
        <w:rPr>
          <w:sz w:val="24"/>
          <w:szCs w:val="24"/>
        </w:rPr>
        <w:t xml:space="preserve">Nos termos do Art. 843, do Código de Processo Civil, tratando-se de penhora de bem indivisível, o equivalente à quota-parte do coproprietário ou do cônjuge alheio à execução recairá </w:t>
      </w:r>
      <w:r>
        <w:rPr>
          <w:sz w:val="24"/>
          <w:szCs w:val="24"/>
        </w:rPr>
        <w:lastRenderedPageBreak/>
        <w:t>sobre o produto da alienação do bem. É reservada ao coproprietário ou ao cônjuge não executado a preferência na arrematação do bem em igualdade de condições.</w:t>
      </w:r>
    </w:p>
    <w:p w14:paraId="3F0E22C2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1C584C03" w14:textId="77777777" w:rsidR="000376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CONCURSO DE CREDORES</w:t>
      </w:r>
      <w:r>
        <w:rPr>
          <w:color w:val="000000"/>
          <w:sz w:val="24"/>
          <w:szCs w:val="24"/>
        </w:rPr>
        <w:t xml:space="preserve"> - Os débitos que recaiam sobre o bem, seja de natureza tributária (IPTU/ITR), </w:t>
      </w:r>
      <w:r>
        <w:rPr>
          <w:i/>
          <w:color w:val="000000"/>
          <w:sz w:val="24"/>
          <w:szCs w:val="24"/>
        </w:rPr>
        <w:t xml:space="preserve">propter rem </w:t>
      </w:r>
      <w:r>
        <w:rPr>
          <w:color w:val="000000"/>
          <w:sz w:val="24"/>
          <w:szCs w:val="24"/>
        </w:rPr>
        <w:t xml:space="preserve">(condomínio), serão sub-rogados no valor da arrematação, (art. 130, caput e parágrafo único, do CTN, c/c com o art. 908, § 1º, do CPC e art. 1.345 CC), sendo o imóvel transferido ao arrematante livre de débitos e ônus anteriores à arrematação. </w:t>
      </w:r>
    </w:p>
    <w:p w14:paraId="0268D946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B63FF2A" w14:textId="77777777" w:rsidR="000376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DOS ÔNUS HIPOTECÁRIOS e FIDUCIÁRIOS - A HIPOTECA</w:t>
      </w:r>
      <w:r>
        <w:rPr>
          <w:color w:val="000000"/>
          <w:sz w:val="24"/>
          <w:szCs w:val="24"/>
        </w:rPr>
        <w:t xml:space="preserve"> - extingue-se com a arrematação, assim, nada será devido pelo arrematante ao credor hipotecário (art. 1499 VI do Código Civil), com relação a</w:t>
      </w:r>
      <w:r>
        <w:rPr>
          <w:b/>
          <w:color w:val="000000"/>
          <w:sz w:val="24"/>
          <w:szCs w:val="24"/>
        </w:rPr>
        <w:t xml:space="preserve"> ALIENAÇÃO FIDUCIÁRIA</w:t>
      </w:r>
      <w:r>
        <w:rPr>
          <w:color w:val="000000"/>
          <w:sz w:val="24"/>
          <w:szCs w:val="24"/>
        </w:rPr>
        <w:t>, o arrematante se sub-rogará nos direitos do antigo devedor fiduciante em relação ao credor fiduciário e será de sua responsabilidade todas as providências necessárias para regularização do contrato.</w:t>
      </w:r>
    </w:p>
    <w:p w14:paraId="1640B299" w14:textId="77777777" w:rsidR="0003766F" w:rsidRDefault="0003766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4B1054DD" w14:textId="77777777" w:rsidR="000376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CONDIÇÕES E OBRIGAÇÕES DO ARREMATANTE - </w:t>
      </w:r>
      <w:r>
        <w:rPr>
          <w:color w:val="000000"/>
          <w:sz w:val="24"/>
          <w:szCs w:val="24"/>
        </w:rPr>
        <w:t>O bem será vendido no estado de conservação em que se encontra, sem garantia, constituindo ônus, o interessado deverá verificar suas condições antes das datas designadas  para o leilão, bem como dúvidas e dívidas pendentes sobre o bem e não descritas neste edital (arts. 9º Provimento 1625/2009 - CSM/TJSP e 18º da Resolução 236/2016 - CNJ). Correrão por conta do arrematante todas as providências e despesas necessárias para a transmissão da propriedade dos imóveis, bem como as despesas necessárias para a desocupação dos imóveis e a efetiva imissão na posse.</w:t>
      </w:r>
    </w:p>
    <w:p w14:paraId="4C948334" w14:textId="77777777" w:rsidR="0003766F" w:rsidRDefault="0003766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787A4D09" w14:textId="77777777" w:rsidR="0003766F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CONDIÇÕES DE VENDA - </w:t>
      </w:r>
      <w:r>
        <w:rPr>
          <w:sz w:val="24"/>
          <w:szCs w:val="24"/>
        </w:rPr>
        <w:t xml:space="preserve">O leilão eletrônico será conduzido pelo Leiloeiro Oficial </w:t>
      </w:r>
      <w:r>
        <w:rPr>
          <w:b/>
          <w:sz w:val="24"/>
          <w:szCs w:val="24"/>
        </w:rPr>
        <w:t>DANIEL HAMOUI</w:t>
      </w:r>
      <w:r>
        <w:rPr>
          <w:sz w:val="24"/>
          <w:szCs w:val="24"/>
        </w:rPr>
        <w:t xml:space="preserve">, através do portal </w:t>
      </w:r>
      <w:r>
        <w:rPr>
          <w:b/>
          <w:sz w:val="24"/>
          <w:szCs w:val="24"/>
        </w:rPr>
        <w:t xml:space="preserve">DH LEILÕES </w:t>
      </w:r>
      <w:hyperlink r:id="rId9">
        <w:r>
          <w:rPr>
            <w:color w:val="0462C1"/>
            <w:sz w:val="24"/>
            <w:szCs w:val="24"/>
            <w:u w:val="single"/>
          </w:rPr>
          <w:t>www.dhleiloes.com.br</w:t>
        </w:r>
      </w:hyperlink>
      <w:r>
        <w:rPr>
          <w:sz w:val="24"/>
          <w:szCs w:val="24"/>
        </w:rPr>
        <w:t>.</w:t>
      </w:r>
    </w:p>
    <w:p w14:paraId="06EA48BC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64F50E84" w14:textId="77777777" w:rsidR="000376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interessados em ofertar lances deverão se cadastrar previamente pelo site do Leilão Judicial Eletrônico, com no mínimo 24hs (vinte e quatro horas) de antecedência da data designada para início do leilão, aceitar os termos e condições informados e enviar os seguintes documentos: </w:t>
      </w:r>
      <w:r>
        <w:rPr>
          <w:b/>
          <w:color w:val="000000"/>
          <w:sz w:val="24"/>
          <w:szCs w:val="24"/>
        </w:rPr>
        <w:t xml:space="preserve">I </w:t>
      </w:r>
      <w:r>
        <w:rPr>
          <w:color w:val="000000"/>
          <w:sz w:val="24"/>
          <w:szCs w:val="24"/>
        </w:rPr>
        <w:t xml:space="preserve">– Pessoa Física: RG ou outro documento oficial com foto, CPF/ME, comprovante de endereço e certidão de casamento, se casado for; </w:t>
      </w:r>
      <w:r>
        <w:rPr>
          <w:b/>
          <w:color w:val="000000"/>
          <w:sz w:val="24"/>
          <w:szCs w:val="24"/>
        </w:rPr>
        <w:t xml:space="preserve">II </w:t>
      </w:r>
      <w:r>
        <w:rPr>
          <w:color w:val="000000"/>
          <w:sz w:val="24"/>
          <w:szCs w:val="24"/>
        </w:rPr>
        <w:t>– Pessoa Jurídica: Contrato Social com as últimas alterações, comprovante de endereço, documentos pessoais do sócio (RG ou outro documento oficial com foto e CPF/ME) ou procuração do representante. Os cadastros ficam sujeitos à conferência de identidade em banco de dados oficiais.</w:t>
      </w:r>
    </w:p>
    <w:p w14:paraId="283ABCF7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70700F7E" w14:textId="77777777" w:rsidR="000376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sistema estará disponível para recepção de lances com, no mínimo, 5 (cinco) dias de antecedência da data marcada para o 1º leilão (art. 11, da Resolução 236/2016 do CNJ e art. 887, § 1º do CPC). Não havendo lances no </w:t>
      </w:r>
      <w:r>
        <w:rPr>
          <w:color w:val="000000"/>
          <w:sz w:val="24"/>
          <w:szCs w:val="24"/>
          <w:u w:val="single"/>
        </w:rPr>
        <w:t>1º leilão</w:t>
      </w:r>
      <w:r>
        <w:rPr>
          <w:color w:val="000000"/>
          <w:sz w:val="24"/>
          <w:szCs w:val="24"/>
        </w:rPr>
        <w:t xml:space="preserve">, seguir-se-á, sem interrupção, o </w:t>
      </w:r>
      <w:r>
        <w:rPr>
          <w:color w:val="000000"/>
          <w:sz w:val="24"/>
          <w:szCs w:val="24"/>
          <w:u w:val="single"/>
        </w:rPr>
        <w:t>2º leilão</w:t>
      </w:r>
      <w:r>
        <w:rPr>
          <w:color w:val="000000"/>
          <w:sz w:val="24"/>
          <w:szCs w:val="24"/>
        </w:rPr>
        <w:t xml:space="preserve"> que ficará aberto para recebimento de lances, durante o período mínimo de 20 dias posteriores à data de sua abertura. </w:t>
      </w:r>
    </w:p>
    <w:p w14:paraId="160F44B8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62CC08B4" w14:textId="0668881A" w:rsidR="000376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Caso</w:t>
      </w:r>
      <w:r w:rsidR="000F4D6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sejam ofertados lances nos 3 (três) minutos finais dos leilões, o sistema prorrogará a disputa por mais 3 (três) minutos para que todos os participantes tenham a oportunidade de enviar novos lances (arts. 11, 12 e 14 do Provimento 1625/2009 - CSM/TJSP, 21 e 22 da Resolução 236/2016 CNJ).</w:t>
      </w:r>
    </w:p>
    <w:p w14:paraId="4876D4A1" w14:textId="77777777" w:rsidR="000376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Durante a alienação, os lanços deverão ser oferecidos diretamente no sistema e imediatamente divulgados on-line, de modo a viabilizar a preservação do tempo real das ofertas. Não será admitido lances remetidos via e-mail (Art. 15 do Prov. CSM n. 1625/2009).</w:t>
      </w:r>
    </w:p>
    <w:p w14:paraId="11C80C44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428B5622" w14:textId="77777777" w:rsidR="000376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 a comprovação efetiva do pagamento integral do valor da arrematação e da comissão do Leiloeiro será lavrado o auto de arrematação para expedição da carta de arrematação do bem imóvel, com o respectivo mandado de imissão na posse (art. 901, §1º do Código de Processo Civil e art. 20 do Provimento n° 1625/2009 CSM/TJSP).</w:t>
      </w:r>
    </w:p>
    <w:p w14:paraId="7674307D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627518F4" w14:textId="77777777" w:rsidR="000376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Não sendo efetuado o depósito da oferta, o Leiloeiro comunicará imediatamente o fato ao Juízo, informando também os lanços imediatamente anteriores para que sejam submetidos à apreciação do Juízo, sem prejuízo da aplicação de sanções legais (art. 897, do Código de Processo Civil e art. 21 do Provimento n° 1625/2009 CSM/TJSP). Se o exequente arrematar o bem e for o único credor, não estará obrigado a exibir o preço, mas, se o valor do bem exceder ao seu crédito, depositará, dentro de 3 (três) dias, a diferença, sob pena de tornar-se sem efeito a arrematação, e, nesse caso, realizar-se-á novo leilão, à custa do exequente (art. 892, §1º, do Código de Processo Civil).</w:t>
      </w:r>
    </w:p>
    <w:p w14:paraId="414B380F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7DB2751B" w14:textId="77777777" w:rsidR="0003766F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PAGAMENTO E RECIBO DE ARREMATAÇÃO</w:t>
      </w:r>
      <w:r>
        <w:rPr>
          <w:sz w:val="24"/>
          <w:szCs w:val="24"/>
        </w:rPr>
        <w:t>: o pagamento da arrematação poderá ser feito à vista ou parcelado:</w:t>
      </w:r>
    </w:p>
    <w:p w14:paraId="42438EF6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34D03A7A" w14:textId="77777777" w:rsidR="0003766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after="0"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  <w:u w:val="single"/>
        </w:rPr>
        <w:t>À VISTA</w:t>
      </w:r>
      <w:r>
        <w:rPr>
          <w:color w:val="000000"/>
          <w:sz w:val="24"/>
          <w:szCs w:val="24"/>
        </w:rPr>
        <w:t xml:space="preserve">: através de guia de depósito judicial emitida pelo leiloeiro no dia útil seguinte após o término do leilão. </w:t>
      </w:r>
      <w:r>
        <w:rPr>
          <w:b/>
          <w:color w:val="000000"/>
          <w:sz w:val="24"/>
          <w:szCs w:val="24"/>
          <w:u w:val="single"/>
        </w:rPr>
        <w:t>O lance à vista sempre prevalecerá sobre as propostas de pagamento parcelado (art. 895, § 7º, do Código de Processo Civil)</w:t>
      </w:r>
      <w:r>
        <w:rPr>
          <w:color w:val="000000"/>
          <w:sz w:val="24"/>
          <w:szCs w:val="24"/>
        </w:rPr>
        <w:t>.</w:t>
      </w:r>
    </w:p>
    <w:p w14:paraId="33601C42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after="0" w:line="276" w:lineRule="auto"/>
        <w:jc w:val="both"/>
        <w:rPr>
          <w:color w:val="000000"/>
          <w:sz w:val="24"/>
          <w:szCs w:val="24"/>
        </w:rPr>
      </w:pPr>
    </w:p>
    <w:p w14:paraId="0928E3D3" w14:textId="77777777" w:rsidR="0003766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after="0"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- </w:t>
      </w:r>
      <w:r>
        <w:rPr>
          <w:b/>
          <w:color w:val="000000"/>
          <w:sz w:val="24"/>
          <w:szCs w:val="24"/>
          <w:u w:val="single"/>
        </w:rPr>
        <w:t>PARCELADO</w:t>
      </w:r>
      <w:r>
        <w:rPr>
          <w:color w:val="000000"/>
          <w:sz w:val="24"/>
          <w:szCs w:val="24"/>
        </w:rPr>
        <w:t xml:space="preserve">: para pagamento nesta modalidade, o interessado deverá apresentar até o início do leilão, se possível, sua proposta por escrito, que deverá indicar: a) - </w:t>
      </w:r>
      <w:r>
        <w:rPr>
          <w:b/>
          <w:color w:val="000000"/>
          <w:sz w:val="24"/>
          <w:szCs w:val="24"/>
          <w:u w:val="single"/>
        </w:rPr>
        <w:t>SINAL</w:t>
      </w:r>
      <w:r>
        <w:rPr>
          <w:color w:val="000000"/>
          <w:sz w:val="24"/>
          <w:szCs w:val="24"/>
        </w:rPr>
        <w:t xml:space="preserve">: pelo menos 25% (vinte e cinco por cento) do valor do lance à vista, em 24h (vinte e quatro horas) a contar da </w:t>
      </w:r>
      <w:r>
        <w:rPr>
          <w:color w:val="000000"/>
          <w:sz w:val="24"/>
          <w:szCs w:val="24"/>
          <w:highlight w:val="white"/>
        </w:rPr>
        <w:t xml:space="preserve">finalização do leilão; b) - </w:t>
      </w:r>
      <w:r>
        <w:rPr>
          <w:b/>
          <w:color w:val="000000"/>
          <w:sz w:val="24"/>
          <w:szCs w:val="24"/>
          <w:highlight w:val="white"/>
          <w:u w:val="single"/>
        </w:rPr>
        <w:t>PRAZO</w:t>
      </w:r>
      <w:r>
        <w:rPr>
          <w:color w:val="000000"/>
          <w:sz w:val="24"/>
          <w:szCs w:val="24"/>
          <w:highlight w:val="white"/>
        </w:rPr>
        <w:t xml:space="preserve">: o saldo remanescente poderá ser parcelado em até 30 (trinta) meses; c) - </w:t>
      </w:r>
      <w:r>
        <w:rPr>
          <w:b/>
          <w:color w:val="000000"/>
          <w:sz w:val="24"/>
          <w:szCs w:val="24"/>
          <w:highlight w:val="white"/>
          <w:u w:val="single"/>
        </w:rPr>
        <w:t>MODALIDADE</w:t>
      </w:r>
      <w:r>
        <w:rPr>
          <w:color w:val="000000"/>
          <w:sz w:val="24"/>
          <w:szCs w:val="24"/>
          <w:highlight w:val="white"/>
        </w:rPr>
        <w:t xml:space="preserve">: somente será admitido o pagamento das parcelas em guia de depósito judicial vinculada ao processo; d) - </w:t>
      </w:r>
      <w:r>
        <w:rPr>
          <w:b/>
          <w:color w:val="000000"/>
          <w:sz w:val="24"/>
          <w:szCs w:val="24"/>
          <w:highlight w:val="white"/>
          <w:u w:val="single"/>
        </w:rPr>
        <w:t>GARANTIA</w:t>
      </w:r>
      <w:r>
        <w:rPr>
          <w:color w:val="000000"/>
          <w:sz w:val="24"/>
          <w:szCs w:val="24"/>
          <w:highlight w:val="white"/>
        </w:rPr>
        <w:t xml:space="preserve">: até a quitação do pagamento, o imóvel arrematado ficará gravado com hipoteca; e) - </w:t>
      </w:r>
      <w:r>
        <w:rPr>
          <w:b/>
          <w:color w:val="000000"/>
          <w:sz w:val="24"/>
          <w:szCs w:val="24"/>
          <w:highlight w:val="white"/>
          <w:u w:val="single"/>
        </w:rPr>
        <w:t>INDEXADOR DE CORREÇÃO MONETÁRIA</w:t>
      </w:r>
      <w:r>
        <w:rPr>
          <w:color w:val="000000"/>
          <w:sz w:val="24"/>
          <w:szCs w:val="24"/>
          <w:highlight w:val="white"/>
        </w:rPr>
        <w:t>: o saldo remanescente deverá ser corrigido por índice monetário.</w:t>
      </w:r>
    </w:p>
    <w:p w14:paraId="00B8D2F3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after="0" w:line="276" w:lineRule="auto"/>
        <w:jc w:val="both"/>
        <w:rPr>
          <w:color w:val="000000"/>
          <w:sz w:val="24"/>
          <w:szCs w:val="24"/>
        </w:rPr>
      </w:pPr>
    </w:p>
    <w:p w14:paraId="4D8157B8" w14:textId="77777777" w:rsidR="0003766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– </w:t>
      </w:r>
      <w:r>
        <w:rPr>
          <w:b/>
          <w:color w:val="000000"/>
          <w:sz w:val="24"/>
          <w:szCs w:val="24"/>
          <w:u w:val="single"/>
        </w:rPr>
        <w:t>PROPOSTA CONDICIONAL</w:t>
      </w:r>
      <w:r>
        <w:rPr>
          <w:color w:val="000000"/>
          <w:sz w:val="24"/>
          <w:szCs w:val="24"/>
        </w:rPr>
        <w:t>: Caso o bem não seja vendido durante o 1º e 2º leilão, fica desde já autorizada a captação de propostas por valor não inferior a 50% (cinquenta por cento) da avaliação, pelo prazo máximo de 30 dias a contar do encerramento do 2º leilão. </w:t>
      </w:r>
    </w:p>
    <w:p w14:paraId="760F0476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  <w:highlight w:val="white"/>
        </w:rPr>
      </w:pPr>
    </w:p>
    <w:p w14:paraId="392B0746" w14:textId="77777777" w:rsidR="000376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COMISSÃO DO LEILOEIRO</w:t>
      </w:r>
      <w:r>
        <w:rPr>
          <w:color w:val="000000"/>
          <w:sz w:val="24"/>
          <w:szCs w:val="24"/>
          <w:highlight w:val="white"/>
        </w:rPr>
        <w:t xml:space="preserve"> - Fixada em 5% (cinco por cento) sobre o valor da arrematação, não se incluindo no valor do lanço, conforme disposto no Provimento CSM 1625/2009, com as alterações dadas pelo Provimento CSM 2319/15. O pagamento será feito através de depósito bancário e o comprovante deverá ser imediatamente encaminhado pelo endereço eletrônico </w:t>
      </w:r>
      <w:hyperlink r:id="rId10">
        <w:r>
          <w:rPr>
            <w:color w:val="000000"/>
            <w:sz w:val="24"/>
            <w:szCs w:val="24"/>
            <w:highlight w:val="white"/>
          </w:rPr>
          <w:t>juridico@dhleiloes.com.br</w:t>
        </w:r>
      </w:hyperlink>
      <w:r>
        <w:rPr>
          <w:color w:val="000000"/>
          <w:sz w:val="24"/>
          <w:szCs w:val="24"/>
          <w:highlight w:val="white"/>
        </w:rPr>
        <w:t xml:space="preserve">. </w:t>
      </w:r>
    </w:p>
    <w:p w14:paraId="42C2CB31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  <w:highlight w:val="white"/>
        </w:rPr>
      </w:pPr>
    </w:p>
    <w:p w14:paraId="45F9EA92" w14:textId="77777777" w:rsidR="000376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Havendo remição ou acordo, será devido ao Leiloeiro Oficial, o importe de 2% (dois por cento) sobre o valor da avaliação do imóvel, a ser pago pela parte que remiu ou que postulou o acordo.</w:t>
      </w:r>
    </w:p>
    <w:p w14:paraId="1FA8BFBA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  <w:highlight w:val="white"/>
        </w:rPr>
      </w:pPr>
    </w:p>
    <w:p w14:paraId="27D0107F" w14:textId="77777777" w:rsidR="000376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Havendo acordo ou pagamento da dívida, após a realização do leilão e arrematação será devido ao Leiloeiro Oficial, o importe de 5% (cinco por cento) sobre o valor da arrematação, a ser pago pela parte executada. Em todos os casos o pagamento será feito através de depósito bancário e o comprovante deverá ser imediatamente encaminhado pelo endereço eletrônico </w:t>
      </w:r>
      <w:hyperlink r:id="rId11">
        <w:r>
          <w:rPr>
            <w:color w:val="000000"/>
            <w:sz w:val="24"/>
            <w:szCs w:val="24"/>
            <w:highlight w:val="white"/>
          </w:rPr>
          <w:t>juridico@dhleiloes.com.br</w:t>
        </w:r>
      </w:hyperlink>
      <w:r>
        <w:rPr>
          <w:color w:val="000000"/>
          <w:sz w:val="24"/>
          <w:szCs w:val="24"/>
          <w:highlight w:val="white"/>
        </w:rPr>
        <w:t>.</w:t>
      </w:r>
    </w:p>
    <w:p w14:paraId="7415AE60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7ECF9BB2" w14:textId="77777777" w:rsidR="000376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VISITAÇÃO</w:t>
      </w:r>
      <w:r>
        <w:rPr>
          <w:color w:val="000000"/>
          <w:sz w:val="24"/>
          <w:szCs w:val="24"/>
        </w:rPr>
        <w:t xml:space="preserve"> – Desde que autorizada a visitação, a mesma deverá ser agendada com o Leiloeiro através do e-mail contato@dhleiloes.com.br, ficando autorizado o acompanhamento com oficial de justiça e força policial, se necessário. Em caso de imóvel desocupado, também fica autorizado o Leiloeiro a se fazer acompanhar por chaveiro, para abertura da porta que estiver trancada. Igualmente, ficam autorizados os funcionários do Leiloeiro, devidamente identificados, a obter </w:t>
      </w:r>
      <w:r>
        <w:rPr>
          <w:color w:val="000000"/>
          <w:sz w:val="24"/>
          <w:szCs w:val="24"/>
        </w:rPr>
        <w:lastRenderedPageBreak/>
        <w:t>diretamente, material fotográfico para inseri-lo no portal do Leiloeiro, a fim de que os licitantes tenham pleno conhecimento das características do bem.</w:t>
      </w:r>
    </w:p>
    <w:p w14:paraId="7D95018F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5869BB91" w14:textId="77777777" w:rsidR="000376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DÚVIDAS E ESCLARECIMENTOS - </w:t>
      </w:r>
      <w:r>
        <w:rPr>
          <w:color w:val="000000"/>
          <w:sz w:val="24"/>
          <w:szCs w:val="24"/>
        </w:rPr>
        <w:t xml:space="preserve">Pessoalmente, perante este Ofício, onde tramita a presente ação ou          pelo endereço eletrônico </w:t>
      </w:r>
      <w:hyperlink r:id="rId12">
        <w:r>
          <w:rPr>
            <w:color w:val="0462C1"/>
            <w:sz w:val="24"/>
            <w:szCs w:val="24"/>
            <w:u w:val="single"/>
          </w:rPr>
          <w:t>juridico@dhleiloes.com.br</w:t>
        </w:r>
      </w:hyperlink>
    </w:p>
    <w:p w14:paraId="6B4D83D0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17C6B01C" w14:textId="77777777" w:rsidR="0003766F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INTIMAÇÕES - </w:t>
      </w:r>
      <w:r>
        <w:rPr>
          <w:sz w:val="24"/>
          <w:szCs w:val="24"/>
        </w:rPr>
        <w:t xml:space="preserve">Nos termos do Art. 889, inciso I, do Código de Processo Civil, ficam as partes </w:t>
      </w:r>
      <w:r>
        <w:rPr>
          <w:b/>
          <w:sz w:val="24"/>
          <w:szCs w:val="24"/>
          <w:highlight w:val="white"/>
        </w:rPr>
        <w:t xml:space="preserve">EXEQUENTE: </w:t>
      </w:r>
      <w:r>
        <w:rPr>
          <w:sz w:val="24"/>
          <w:szCs w:val="24"/>
          <w:highlight w:val="white"/>
        </w:rPr>
        <w:t xml:space="preserve">CONDOMÍNIO EDIFÍCIO SAN FRANCISCO GOLF TOWER (CNPJ Nº 57.126.484/0001-3); </w:t>
      </w:r>
      <w:r>
        <w:rPr>
          <w:b/>
          <w:sz w:val="24"/>
          <w:szCs w:val="24"/>
          <w:highlight w:val="white"/>
        </w:rPr>
        <w:t>EXECUTADO</w:t>
      </w:r>
      <w:r>
        <w:rPr>
          <w:sz w:val="24"/>
          <w:szCs w:val="24"/>
          <w:highlight w:val="white"/>
        </w:rPr>
        <w:t xml:space="preserve">: CARLOS ALBERTO DA ROCHA PIFFER (CPF Nº 76.314.868-75) e ROSANGELA ROSA PIFFER (CPF Nº 068.316.298-57; </w:t>
      </w:r>
      <w:r>
        <w:rPr>
          <w:b/>
          <w:sz w:val="24"/>
          <w:szCs w:val="24"/>
          <w:highlight w:val="white"/>
        </w:rPr>
        <w:t>INTERESSADOS</w:t>
      </w:r>
      <w:r>
        <w:rPr>
          <w:sz w:val="24"/>
          <w:szCs w:val="24"/>
          <w:highlight w:val="white"/>
        </w:rPr>
        <w:t>: PREFEITURA DA CIDADE DE SÃO PAULO SECRETARIA MUNICIPAL DA FAZENDA; DIEGO SANTANA PIMENTEL CPF/MF sob nº.376.359.348-99; SURF CO LTDA (CNPJ Nº 53.356.259/0001-36) e IMOBILIÁRIA BIZULA LTDA (CNPJ n.º 12.423.212/0001-60)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E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QUAISQUER OUTROS INTERESSADOS ACERCA DA REALIZAÇÃO DESTE CERTAME</w:t>
      </w:r>
      <w:r>
        <w:rPr>
          <w:sz w:val="24"/>
          <w:szCs w:val="24"/>
        </w:rPr>
        <w:t>, ficando intimados do Leilão se não encontrados através do presente edital, suprida assim a exigência contida no parágrafo  único do art. 889 do Código de Processo Civil. Será o presente edital, por extrato, afixado e publicado na forma da lei.</w:t>
      </w:r>
    </w:p>
    <w:p w14:paraId="3C5EEB3A" w14:textId="77777777" w:rsidR="0003766F" w:rsidRDefault="0003766F">
      <w:pPr>
        <w:pStyle w:val="Ttulo1"/>
        <w:spacing w:before="0" w:after="0" w:line="276" w:lineRule="auto"/>
        <w:jc w:val="both"/>
        <w:rPr>
          <w:sz w:val="24"/>
          <w:szCs w:val="24"/>
        </w:rPr>
      </w:pPr>
    </w:p>
    <w:p w14:paraId="7416FAB8" w14:textId="12DD1A82" w:rsidR="0003766F" w:rsidRPr="00AC435D" w:rsidRDefault="00000000" w:rsidP="00AC435D">
      <w:pPr>
        <w:pStyle w:val="Ttulo1"/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Impedir, perturbar ou fraudar arrematação judicial; afastar ou procurar afastar concorrente ou licitante, por meio de violência, grave ameaça, fraude ou oferecimento de vantagem constitui crime (art. 359, do Código de Penal); suscitar vício infundado com o objetivo de ensejar a desistência da arrematação é considerado ato atentatório à dignidade da Justiça (art. 903, §6º, do Código de Processo Civil), passível, em qualquer um dos casos, das penalidades previstas em lei, sem prejuízo da responsabilidade por perdas e danos, ao pagamento de multa de 20% (vinte por cento) do valor atualizado do bem</w:t>
      </w:r>
      <w:r>
        <w:rPr>
          <w:b w:val="0"/>
          <w:sz w:val="24"/>
          <w:szCs w:val="24"/>
        </w:rPr>
        <w:t>.</w:t>
      </w:r>
    </w:p>
    <w:p w14:paraId="309D523E" w14:textId="77777777" w:rsidR="0003766F" w:rsidRDefault="0003766F">
      <w:pPr>
        <w:spacing w:line="276" w:lineRule="auto"/>
        <w:rPr>
          <w:sz w:val="24"/>
          <w:szCs w:val="24"/>
        </w:rPr>
      </w:pPr>
    </w:p>
    <w:p w14:paraId="1E68CF7F" w14:textId="474EB78E" w:rsidR="000376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São Paulo,</w:t>
      </w:r>
      <w:r w:rsidR="00AC435D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1</w:t>
      </w:r>
      <w:r>
        <w:rPr>
          <w:sz w:val="24"/>
          <w:szCs w:val="24"/>
          <w:highlight w:val="white"/>
        </w:rPr>
        <w:t xml:space="preserve">1 </w:t>
      </w:r>
      <w:r>
        <w:rPr>
          <w:color w:val="000000"/>
          <w:sz w:val="24"/>
          <w:szCs w:val="24"/>
          <w:highlight w:val="white"/>
        </w:rPr>
        <w:t xml:space="preserve">de </w:t>
      </w:r>
      <w:r>
        <w:rPr>
          <w:sz w:val="24"/>
          <w:szCs w:val="24"/>
          <w:highlight w:val="white"/>
        </w:rPr>
        <w:t>março</w:t>
      </w:r>
      <w:r>
        <w:rPr>
          <w:color w:val="000000"/>
          <w:sz w:val="24"/>
          <w:szCs w:val="24"/>
          <w:highlight w:val="white"/>
        </w:rPr>
        <w:t xml:space="preserve"> de 202</w:t>
      </w:r>
      <w:r>
        <w:rPr>
          <w:sz w:val="24"/>
          <w:szCs w:val="24"/>
          <w:highlight w:val="white"/>
        </w:rPr>
        <w:t>4</w:t>
      </w:r>
      <w:r>
        <w:rPr>
          <w:color w:val="000000"/>
          <w:sz w:val="24"/>
          <w:szCs w:val="24"/>
          <w:highlight w:val="white"/>
        </w:rPr>
        <w:t>.</w:t>
      </w:r>
    </w:p>
    <w:p w14:paraId="35ECECBD" w14:textId="77777777" w:rsidR="0003766F" w:rsidRDefault="0003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  <w:highlight w:val="white"/>
        </w:rPr>
      </w:pPr>
    </w:p>
    <w:p w14:paraId="5D42F1F0" w14:textId="77777777" w:rsidR="000376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Dra. </w:t>
      </w:r>
      <w:r>
        <w:rPr>
          <w:b/>
          <w:sz w:val="24"/>
          <w:szCs w:val="24"/>
          <w:highlight w:val="white"/>
        </w:rPr>
        <w:t>Renata Soubhie Nogueira Borio</w:t>
      </w:r>
    </w:p>
    <w:p w14:paraId="6C4877E0" w14:textId="77777777" w:rsidR="000376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Juíza de Direito</w:t>
      </w:r>
    </w:p>
    <w:sectPr w:rsidR="0003766F">
      <w:headerReference w:type="default" r:id="rId13"/>
      <w:pgSz w:w="11906" w:h="16838"/>
      <w:pgMar w:top="2836" w:right="1133" w:bottom="2835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C81B" w14:textId="77777777" w:rsidR="00E51BEC" w:rsidRDefault="00E51BEC">
      <w:pPr>
        <w:spacing w:after="0" w:line="240" w:lineRule="auto"/>
      </w:pPr>
      <w:r>
        <w:separator/>
      </w:r>
    </w:p>
  </w:endnote>
  <w:endnote w:type="continuationSeparator" w:id="0">
    <w:p w14:paraId="1F6DE3AE" w14:textId="77777777" w:rsidR="00E51BEC" w:rsidRDefault="00E5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1AF4" w14:textId="77777777" w:rsidR="00E51BEC" w:rsidRDefault="00E51BEC">
      <w:pPr>
        <w:spacing w:after="0" w:line="240" w:lineRule="auto"/>
      </w:pPr>
      <w:r>
        <w:separator/>
      </w:r>
    </w:p>
  </w:footnote>
  <w:footnote w:type="continuationSeparator" w:id="0">
    <w:p w14:paraId="53D77E42" w14:textId="77777777" w:rsidR="00E51BEC" w:rsidRDefault="00E5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59A0" w14:textId="77777777" w:rsidR="000376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706419E" wp14:editId="160FFE40">
          <wp:simplePos x="0" y="0"/>
          <wp:positionH relativeFrom="column">
            <wp:posOffset>-720089</wp:posOffset>
          </wp:positionH>
          <wp:positionV relativeFrom="paragraph">
            <wp:posOffset>-444499</wp:posOffset>
          </wp:positionV>
          <wp:extent cx="7543800" cy="10668000"/>
          <wp:effectExtent l="0" t="0" r="0" b="0"/>
          <wp:wrapNone/>
          <wp:docPr id="10" name="image1.pn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A6294"/>
    <w:multiLevelType w:val="multilevel"/>
    <w:tmpl w:val="190A139C"/>
    <w:lvl w:ilvl="0">
      <w:start w:val="1"/>
      <w:numFmt w:val="upperRoman"/>
      <w:lvlText w:val="%1"/>
      <w:lvlJc w:val="left"/>
      <w:pPr>
        <w:ind w:left="112" w:hanging="109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122" w:hanging="109"/>
      </w:pPr>
    </w:lvl>
    <w:lvl w:ilvl="2">
      <w:numFmt w:val="bullet"/>
      <w:lvlText w:val="•"/>
      <w:lvlJc w:val="left"/>
      <w:pPr>
        <w:ind w:left="2125" w:hanging="109"/>
      </w:pPr>
    </w:lvl>
    <w:lvl w:ilvl="3">
      <w:numFmt w:val="bullet"/>
      <w:lvlText w:val="•"/>
      <w:lvlJc w:val="left"/>
      <w:pPr>
        <w:ind w:left="3127" w:hanging="109"/>
      </w:pPr>
    </w:lvl>
    <w:lvl w:ilvl="4">
      <w:numFmt w:val="bullet"/>
      <w:lvlText w:val="•"/>
      <w:lvlJc w:val="left"/>
      <w:pPr>
        <w:ind w:left="4130" w:hanging="109"/>
      </w:pPr>
    </w:lvl>
    <w:lvl w:ilvl="5">
      <w:numFmt w:val="bullet"/>
      <w:lvlText w:val="•"/>
      <w:lvlJc w:val="left"/>
      <w:pPr>
        <w:ind w:left="5133" w:hanging="109"/>
      </w:pPr>
    </w:lvl>
    <w:lvl w:ilvl="6">
      <w:numFmt w:val="bullet"/>
      <w:lvlText w:val="•"/>
      <w:lvlJc w:val="left"/>
      <w:pPr>
        <w:ind w:left="6135" w:hanging="109"/>
      </w:pPr>
    </w:lvl>
    <w:lvl w:ilvl="7">
      <w:numFmt w:val="bullet"/>
      <w:lvlText w:val="•"/>
      <w:lvlJc w:val="left"/>
      <w:pPr>
        <w:ind w:left="7138" w:hanging="109"/>
      </w:pPr>
    </w:lvl>
    <w:lvl w:ilvl="8">
      <w:numFmt w:val="bullet"/>
      <w:lvlText w:val="•"/>
      <w:lvlJc w:val="left"/>
      <w:pPr>
        <w:ind w:left="8141" w:hanging="109"/>
      </w:pPr>
    </w:lvl>
  </w:abstractNum>
  <w:num w:numId="1" w16cid:durableId="161817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6F"/>
    <w:rsid w:val="0003766F"/>
    <w:rsid w:val="000F4D61"/>
    <w:rsid w:val="001F4756"/>
    <w:rsid w:val="00574BD3"/>
    <w:rsid w:val="008F2EAD"/>
    <w:rsid w:val="0097336C"/>
    <w:rsid w:val="00AC435D"/>
    <w:rsid w:val="00E45199"/>
    <w:rsid w:val="00E5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5333"/>
  <w15:docId w15:val="{2067F17C-7268-4F7D-9305-39A21248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49046A"/>
    <w:pPr>
      <w:widowControl w:val="0"/>
      <w:autoSpaceDE w:val="0"/>
      <w:autoSpaceDN w:val="0"/>
      <w:spacing w:after="0" w:line="240" w:lineRule="auto"/>
    </w:pPr>
    <w:rPr>
      <w:sz w:val="16"/>
      <w:szCs w:val="16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9046A"/>
    <w:rPr>
      <w:sz w:val="16"/>
      <w:szCs w:val="16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9046A"/>
    <w:pPr>
      <w:widowControl w:val="0"/>
      <w:autoSpaceDE w:val="0"/>
      <w:autoSpaceDN w:val="0"/>
      <w:spacing w:before="1" w:after="0" w:line="271" w:lineRule="exact"/>
      <w:ind w:left="110"/>
      <w:jc w:val="center"/>
    </w:pPr>
    <w:rPr>
      <w:lang w:eastAsia="en-US"/>
    </w:rPr>
  </w:style>
  <w:style w:type="paragraph" w:styleId="PargrafodaLista">
    <w:name w:val="List Paragraph"/>
    <w:basedOn w:val="Normal"/>
    <w:uiPriority w:val="1"/>
    <w:qFormat/>
    <w:rsid w:val="00C4218A"/>
    <w:pPr>
      <w:widowControl w:val="0"/>
      <w:autoSpaceDE w:val="0"/>
      <w:autoSpaceDN w:val="0"/>
      <w:spacing w:after="0" w:line="240" w:lineRule="auto"/>
      <w:ind w:left="112" w:right="105"/>
      <w:jc w:val="both"/>
    </w:pPr>
    <w:rPr>
      <w:lang w:eastAsia="en-US"/>
    </w:rPr>
  </w:style>
  <w:style w:type="paragraph" w:customStyle="1" w:styleId="western">
    <w:name w:val="western"/>
    <w:basedOn w:val="Normal"/>
    <w:rsid w:val="00C4218A"/>
    <w:pPr>
      <w:spacing w:before="100" w:beforeAutospacing="1" w:after="142" w:line="276" w:lineRule="auto"/>
    </w:pPr>
    <w:rPr>
      <w:rFonts w:eastAsia="Times New Roman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C42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8A"/>
  </w:style>
  <w:style w:type="paragraph" w:styleId="Rodap">
    <w:name w:val="footer"/>
    <w:basedOn w:val="Normal"/>
    <w:link w:val="RodapChar"/>
    <w:uiPriority w:val="99"/>
    <w:unhideWhenUsed/>
    <w:rsid w:val="00C42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8A"/>
  </w:style>
  <w:style w:type="character" w:styleId="Forte">
    <w:name w:val="Strong"/>
    <w:basedOn w:val="Fontepargpadro"/>
    <w:uiPriority w:val="22"/>
    <w:qFormat/>
    <w:rsid w:val="002D0DBD"/>
    <w:rPr>
      <w:b/>
      <w:bCs/>
    </w:rPr>
  </w:style>
  <w:style w:type="character" w:styleId="Hyperlink">
    <w:name w:val="Hyperlink"/>
    <w:basedOn w:val="Fontepargpadro"/>
    <w:uiPriority w:val="99"/>
    <w:unhideWhenUsed/>
    <w:rsid w:val="002D0D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ouileiloes.com.b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mouileiloes.com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ecjWioddpWKJU0UeiKj54jwC1g==">CgMxLjA4AHIhMUJNdnAzM1gwZm1UQXNkLWg3Q0NmUnUwdDkyRHNiS3VR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2210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Medeiros</dc:creator>
  <cp:lastModifiedBy>Lucas Freitas</cp:lastModifiedBy>
  <cp:revision>7</cp:revision>
  <dcterms:created xsi:type="dcterms:W3CDTF">2023-06-19T16:43:00Z</dcterms:created>
  <dcterms:modified xsi:type="dcterms:W3CDTF">2024-03-14T00:16:00Z</dcterms:modified>
</cp:coreProperties>
</file>