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2012" w14:textId="77777777" w:rsidR="00B04FCD" w:rsidRPr="005A7252" w:rsidRDefault="00B04FCD" w:rsidP="005A7252">
      <w:pPr>
        <w:spacing w:line="360" w:lineRule="auto"/>
        <w:jc w:val="both"/>
        <w:rPr>
          <w:rFonts w:ascii="Verdana" w:hAnsi="Verdana"/>
        </w:rPr>
      </w:pPr>
      <w:r w:rsidRPr="005A7252">
        <w:rPr>
          <w:rFonts w:ascii="Verdana" w:hAnsi="Verdana"/>
        </w:rPr>
        <w:t>Edital de 1° e 2° leilão de bem imóvel e para intimação de José Carlos Augusto, bem como seu cônjuge se casado for expedido nos autos da ação em fase de Cumprimento de Sentença, que lhe requer Ana Lucia Batista. Processo n° 0000517-18.2022.8.26.0007</w:t>
      </w:r>
    </w:p>
    <w:p w14:paraId="3272FEF9" w14:textId="77777777" w:rsidR="00B04FCD" w:rsidRPr="005A7252" w:rsidRDefault="00B04FCD" w:rsidP="005A7252">
      <w:pPr>
        <w:spacing w:line="360" w:lineRule="auto"/>
        <w:jc w:val="both"/>
        <w:rPr>
          <w:rFonts w:ascii="Verdana" w:hAnsi="Verdana"/>
        </w:rPr>
      </w:pPr>
      <w:r w:rsidRPr="005A7252">
        <w:rPr>
          <w:rFonts w:ascii="Verdana" w:hAnsi="Verdana"/>
        </w:rPr>
        <w:t>A Dra. Sueli Juarez Alonso, Juiz de Direito da 2ª Vara Cível do Foro Regional VII - Itaquera, do Estado de São Paulo, na forma da lei, etc...</w:t>
      </w:r>
    </w:p>
    <w:p w14:paraId="00AC6549" w14:textId="77777777" w:rsidR="00B04FCD" w:rsidRPr="005A7252" w:rsidRDefault="00B04FCD" w:rsidP="005A7252">
      <w:pPr>
        <w:spacing w:line="360" w:lineRule="auto"/>
        <w:jc w:val="both"/>
        <w:rPr>
          <w:rFonts w:ascii="Verdana" w:hAnsi="Verdana"/>
        </w:rPr>
      </w:pPr>
      <w:r w:rsidRPr="005A7252">
        <w:rPr>
          <w:rFonts w:ascii="Verdana" w:hAnsi="Verdana"/>
        </w:rPr>
        <w:t>Faz Saber que o Leiloeiro Oficial, Sr. Irani Flores, JUCESP 792, levará a leilão público para venda e arrematação, no local e hora descritos no edital com transmissão pela internet e disponibilização imediata na plataforma de leilões eletrônicos, </w:t>
      </w:r>
      <w:hyperlink r:id="rId6" w:history="1">
        <w:r w:rsidRPr="005A7252">
          <w:rPr>
            <w:rStyle w:val="Hyperlink"/>
            <w:rFonts w:ascii="Verdana" w:hAnsi="Verdana"/>
          </w:rPr>
          <w:t>www.leilaobrasil.com.br</w:t>
        </w:r>
      </w:hyperlink>
      <w:r w:rsidRPr="005A7252">
        <w:rPr>
          <w:rFonts w:ascii="Verdana" w:hAnsi="Verdana"/>
        </w:rPr>
        <w:t>.</w:t>
      </w:r>
    </w:p>
    <w:p w14:paraId="70B6584A" w14:textId="3370AD57" w:rsidR="00B04FCD" w:rsidRPr="005A7252" w:rsidRDefault="00B04FCD" w:rsidP="005A7252">
      <w:pPr>
        <w:spacing w:line="360" w:lineRule="auto"/>
        <w:jc w:val="both"/>
        <w:rPr>
          <w:rFonts w:ascii="Verdana" w:hAnsi="Verdana"/>
        </w:rPr>
      </w:pPr>
      <w:r w:rsidRPr="005A7252">
        <w:rPr>
          <w:rFonts w:ascii="Verdana" w:hAnsi="Verdana"/>
        </w:rPr>
        <w:t>Do Início e encerramento do Leilão: Início do 1° leilão em</w:t>
      </w:r>
      <w:r w:rsidR="00A4759C">
        <w:rPr>
          <w:rFonts w:ascii="Verdana" w:hAnsi="Verdana"/>
        </w:rPr>
        <w:t xml:space="preserve"> </w:t>
      </w:r>
      <w:r w:rsidR="00015C64">
        <w:rPr>
          <w:rFonts w:ascii="Verdana" w:hAnsi="Verdana"/>
        </w:rPr>
        <w:t>18/09</w:t>
      </w:r>
      <w:r w:rsidR="00A4759C">
        <w:rPr>
          <w:rFonts w:ascii="Verdana" w:hAnsi="Verdana"/>
        </w:rPr>
        <w:t>/</w:t>
      </w:r>
      <w:r w:rsidR="00406BDC" w:rsidRPr="005A7252">
        <w:rPr>
          <w:rFonts w:ascii="Verdana" w:hAnsi="Verdana"/>
        </w:rPr>
        <w:t xml:space="preserve">2026 </w:t>
      </w:r>
      <w:r w:rsidRPr="005A7252">
        <w:rPr>
          <w:rFonts w:ascii="Verdana" w:hAnsi="Verdana"/>
        </w:rPr>
        <w:t>às 10:1</w:t>
      </w:r>
      <w:r w:rsidR="00A4759C">
        <w:rPr>
          <w:rFonts w:ascii="Verdana" w:hAnsi="Verdana"/>
        </w:rPr>
        <w:t>3</w:t>
      </w:r>
      <w:r w:rsidRPr="005A7252">
        <w:rPr>
          <w:rFonts w:ascii="Verdana" w:hAnsi="Verdana"/>
        </w:rPr>
        <w:t xml:space="preserve"> horas e encerramento do 1° leilão em </w:t>
      </w:r>
      <w:r w:rsidR="00015C64">
        <w:rPr>
          <w:rFonts w:ascii="Verdana" w:hAnsi="Verdana"/>
        </w:rPr>
        <w:t>21/09</w:t>
      </w:r>
      <w:r w:rsidR="00406BDC" w:rsidRPr="005A7252">
        <w:rPr>
          <w:rFonts w:ascii="Verdana" w:hAnsi="Verdana"/>
        </w:rPr>
        <w:t xml:space="preserve">/2026 </w:t>
      </w:r>
      <w:r w:rsidRPr="005A7252">
        <w:rPr>
          <w:rFonts w:ascii="Verdana" w:hAnsi="Verdana"/>
        </w:rPr>
        <w:t xml:space="preserve"> às 10:1</w:t>
      </w:r>
      <w:r w:rsidR="00A4759C">
        <w:rPr>
          <w:rFonts w:ascii="Verdana" w:hAnsi="Verdana"/>
        </w:rPr>
        <w:t>3</w:t>
      </w:r>
      <w:r w:rsidRPr="005A7252">
        <w:rPr>
          <w:rFonts w:ascii="Verdana" w:hAnsi="Verdana"/>
        </w:rPr>
        <w:t xml:space="preserve"> horas, em não havendo lance igual ou superior ao valor da avaliação atualizada para a data supra, seguir-se-á sem interrupção o 2° leilão que se encerrará em</w:t>
      </w:r>
      <w:r w:rsidR="00015C64">
        <w:rPr>
          <w:rFonts w:ascii="Verdana" w:hAnsi="Verdana"/>
        </w:rPr>
        <w:t xml:space="preserve"> 16/10</w:t>
      </w:r>
      <w:r w:rsidR="00406BDC" w:rsidRPr="005A7252">
        <w:rPr>
          <w:rFonts w:ascii="Verdana" w:hAnsi="Verdana"/>
        </w:rPr>
        <w:t>/2026</w:t>
      </w:r>
      <w:r w:rsidRPr="005A7252">
        <w:rPr>
          <w:rFonts w:ascii="Verdana" w:hAnsi="Verdana"/>
        </w:rPr>
        <w:t xml:space="preserve"> às 10:1</w:t>
      </w:r>
      <w:r w:rsidR="00A4759C">
        <w:rPr>
          <w:rFonts w:ascii="Verdana" w:hAnsi="Verdana"/>
        </w:rPr>
        <w:t>3</w:t>
      </w:r>
      <w:r w:rsidRPr="005A7252">
        <w:rPr>
          <w:rFonts w:ascii="Verdana" w:hAnsi="Verdana"/>
        </w:rPr>
        <w:t xml:space="preserve"> horas, não sendo aceito lances inferiores a 50% do valor da avaliação atualizada (pelos índices do TJSP), que deverá ser efetuado diretamente na plataforma através da internet.</w:t>
      </w:r>
    </w:p>
    <w:p w14:paraId="1E66069F" w14:textId="3D32EF74" w:rsidR="00B04FCD" w:rsidRPr="005A7252" w:rsidRDefault="00B04FCD" w:rsidP="005A7252">
      <w:pPr>
        <w:spacing w:line="360" w:lineRule="auto"/>
        <w:jc w:val="both"/>
        <w:rPr>
          <w:rFonts w:ascii="Verdana" w:hAnsi="Verdana"/>
        </w:rPr>
      </w:pPr>
      <w:r w:rsidRPr="005A7252">
        <w:rPr>
          <w:rFonts w:ascii="Verdana" w:hAnsi="Verdana"/>
        </w:rPr>
        <w:t xml:space="preserve">Bem: Casa n° 28 na Travessa </w:t>
      </w:r>
      <w:r w:rsidR="0095233B" w:rsidRPr="005A7252">
        <w:rPr>
          <w:rFonts w:ascii="Verdana" w:hAnsi="Verdana"/>
        </w:rPr>
        <w:t>Giorgio</w:t>
      </w:r>
      <w:r w:rsidRPr="005A7252">
        <w:rPr>
          <w:rFonts w:ascii="Verdana" w:hAnsi="Verdana"/>
        </w:rPr>
        <w:t xml:space="preserve"> Vasari, com 60,45m² de área construída e seu respectivo terreno constituído do lote n° 03 da quadra “34-G", do Conjunto Habitacional “Barro Branco II” no distrito de Guaianazes/SP, medindo 7m de frente para a referida Travessa </w:t>
      </w:r>
      <w:r w:rsidR="0095233B" w:rsidRPr="005A7252">
        <w:rPr>
          <w:rFonts w:ascii="Verdana" w:hAnsi="Verdana"/>
        </w:rPr>
        <w:t>Giorgio</w:t>
      </w:r>
      <w:r w:rsidRPr="005A7252">
        <w:rPr>
          <w:rFonts w:ascii="Verdana" w:hAnsi="Verdana"/>
        </w:rPr>
        <w:t xml:space="preserve"> Vasari, do lado direito de quem da Travessa Giórgio Vasari olha para o imóvel mede 15,50m, confrontando com o lote n° 02: do lado esquerdo mede 15,50m, confrontando com parte dos lotes n°s 4 e 5 e nos fundos mede 7m, confrontando com o lote 8, encerrando a área total de 108,50m². Contribuinte: 237.062.0003-1. Matrícula n° 128.493 do 7° CRI de São Paulo.</w:t>
      </w:r>
    </w:p>
    <w:p w14:paraId="4B18CAD1" w14:textId="77777777" w:rsidR="00B04FCD" w:rsidRPr="005A7252" w:rsidRDefault="00B04FCD" w:rsidP="005A7252">
      <w:pPr>
        <w:spacing w:line="360" w:lineRule="auto"/>
        <w:jc w:val="both"/>
        <w:rPr>
          <w:rFonts w:ascii="Verdana" w:hAnsi="Verdana"/>
        </w:rPr>
      </w:pPr>
      <w:r w:rsidRPr="005A7252">
        <w:rPr>
          <w:rFonts w:ascii="Verdana" w:hAnsi="Verdana"/>
        </w:rPr>
        <w:t>Avaliação R$ 239.333,33 (março/2023).</w:t>
      </w:r>
    </w:p>
    <w:p w14:paraId="11299197" w14:textId="77777777" w:rsidR="00B04FCD" w:rsidRPr="005A7252" w:rsidRDefault="00B04FCD" w:rsidP="005A7252">
      <w:pPr>
        <w:spacing w:line="360" w:lineRule="auto"/>
        <w:jc w:val="both"/>
        <w:rPr>
          <w:rFonts w:ascii="Verdana" w:hAnsi="Verdana"/>
        </w:rPr>
      </w:pPr>
      <w:r w:rsidRPr="005A7252">
        <w:rPr>
          <w:rFonts w:ascii="Verdana" w:hAnsi="Verdana"/>
        </w:rPr>
        <w:lastRenderedPageBreak/>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2C30349" w14:textId="77777777" w:rsidR="00B04FCD" w:rsidRPr="005A7252" w:rsidRDefault="00B04FCD" w:rsidP="005A7252">
      <w:pPr>
        <w:spacing w:line="360" w:lineRule="auto"/>
        <w:jc w:val="both"/>
        <w:rPr>
          <w:rFonts w:ascii="Verdana" w:hAnsi="Verdana"/>
        </w:rPr>
      </w:pPr>
      <w:r w:rsidRPr="005A7252">
        <w:rPr>
          <w:rFonts w:ascii="Verdana" w:hAnsi="Verdana"/>
        </w:rPr>
        <w:t>Da Prorrogação do Leilão: Sobrevindo lance a menos de três minutos para o enceramento, o sistema prorrogará automaticamente por mais três minutos sucessivamente para que todos tenham as mesmas chances.</w:t>
      </w:r>
    </w:p>
    <w:p w14:paraId="0E61A831" w14:textId="77777777" w:rsidR="00B04FCD" w:rsidRPr="005A7252" w:rsidRDefault="00B04FCD" w:rsidP="005A7252">
      <w:pPr>
        <w:spacing w:line="360" w:lineRule="auto"/>
        <w:jc w:val="both"/>
        <w:rPr>
          <w:rFonts w:ascii="Verdana" w:hAnsi="Verdana"/>
        </w:rPr>
      </w:pPr>
      <w:r w:rsidRPr="005A7252">
        <w:rPr>
          <w:rFonts w:ascii="Verdana" w:hAnsi="Verdana"/>
        </w:rPr>
        <w:t>Da Comissão: A comissão do leiloeiro será de 5% sobre o valor da arrematação, não estando incluída no valor da arrematação e deverá ser paga diretamente ao Leiloeiro.</w:t>
      </w:r>
    </w:p>
    <w:p w14:paraId="537E1AC5" w14:textId="77777777" w:rsidR="00B04FCD" w:rsidRPr="005A7252" w:rsidRDefault="00B04FCD" w:rsidP="005A7252">
      <w:pPr>
        <w:spacing w:line="360" w:lineRule="auto"/>
        <w:jc w:val="both"/>
        <w:rPr>
          <w:rFonts w:ascii="Verdana" w:hAnsi="Verdana"/>
        </w:rPr>
      </w:pPr>
      <w:r w:rsidRPr="005A7252">
        <w:rPr>
          <w:rFonts w:ascii="Verdana" w:hAnsi="Verdana"/>
        </w:rPr>
        <w:t>Da Adjudicação: Condicionada aos termos do art. 876 e 892, § 1° do código de processo civil.</w:t>
      </w:r>
    </w:p>
    <w:p w14:paraId="27D5E689" w14:textId="409E1987" w:rsidR="00B04FCD" w:rsidRPr="005A7252" w:rsidRDefault="00B04FCD" w:rsidP="005A7252">
      <w:pPr>
        <w:spacing w:line="360" w:lineRule="auto"/>
        <w:jc w:val="both"/>
        <w:rPr>
          <w:rFonts w:ascii="Verdana" w:hAnsi="Verdana"/>
        </w:rPr>
      </w:pPr>
      <w:r w:rsidRPr="005A7252">
        <w:rPr>
          <w:rFonts w:ascii="Verdana" w:hAnsi="Verdana"/>
        </w:rPr>
        <w:t xml:space="preserve">Do pagamento: O arrematante terá o prazo de 24 horas para </w:t>
      </w:r>
      <w:r w:rsidR="0095233B" w:rsidRPr="005A7252">
        <w:rPr>
          <w:rFonts w:ascii="Verdana" w:hAnsi="Verdana"/>
        </w:rPr>
        <w:t>efetuar pagamento</w:t>
      </w:r>
      <w:r w:rsidRPr="005A7252">
        <w:rPr>
          <w:rFonts w:ascii="Verdana" w:hAnsi="Verdana"/>
        </w:rPr>
        <w:t xml:space="preserve"> da arrematação e da comissão.</w:t>
      </w:r>
    </w:p>
    <w:p w14:paraId="4ADD0FE7" w14:textId="0B61CF05" w:rsidR="00671950" w:rsidRPr="005A7252" w:rsidRDefault="000C7A26" w:rsidP="005A7252">
      <w:pPr>
        <w:spacing w:line="360" w:lineRule="auto"/>
        <w:jc w:val="both"/>
        <w:rPr>
          <w:rFonts w:ascii="Verdana" w:hAnsi="Verdana"/>
        </w:rPr>
      </w:pPr>
      <w:r w:rsidRPr="005A7252">
        <w:rPr>
          <w:rFonts w:ascii="Verdana" w:hAnsi="Verdana"/>
        </w:rPr>
        <w:t>Do pagamento parcelado: O parcelamento da arrematação dar-se-á</w:t>
      </w:r>
      <w:r w:rsidR="00671950" w:rsidRPr="005A7252">
        <w:rPr>
          <w:rFonts w:ascii="Verdana" w:hAnsi="Verdana"/>
        </w:rPr>
        <w:t xml:space="preserve"> </w:t>
      </w:r>
      <w:r w:rsidRPr="005A7252">
        <w:rPr>
          <w:rFonts w:ascii="Verdana" w:hAnsi="Verdana"/>
        </w:rPr>
        <w:t>nos termos da Lei; artigo 895 do código de processo civil, “§ 2º, 7º</w:t>
      </w:r>
      <w:r w:rsidR="00671950" w:rsidRPr="005A7252">
        <w:rPr>
          <w:rFonts w:ascii="Verdana" w:hAnsi="Verdana"/>
        </w:rPr>
        <w:t xml:space="preserve"> </w:t>
      </w:r>
      <w:r w:rsidRPr="005A7252">
        <w:rPr>
          <w:rFonts w:ascii="Verdana" w:hAnsi="Verdana"/>
        </w:rPr>
        <w:t>8º e artigo 14 e 22 da Resolução 236/2016 do CNJ, compreendendo a</w:t>
      </w:r>
      <w:r w:rsidR="00671950" w:rsidRPr="005A7252">
        <w:rPr>
          <w:rFonts w:ascii="Verdana" w:hAnsi="Verdana"/>
        </w:rPr>
        <w:t xml:space="preserve"> </w:t>
      </w:r>
      <w:r w:rsidRPr="005A7252">
        <w:rPr>
          <w:rFonts w:ascii="Verdana" w:hAnsi="Verdana"/>
        </w:rPr>
        <w:t>ampla divulgação e transparência necessárias ao judiciário; ainda,</w:t>
      </w:r>
      <w:r w:rsidR="00671950" w:rsidRPr="005A7252">
        <w:rPr>
          <w:rFonts w:ascii="Verdana" w:hAnsi="Verdana"/>
        </w:rPr>
        <w:t xml:space="preserve"> </w:t>
      </w:r>
      <w:r w:rsidRPr="005A7252">
        <w:rPr>
          <w:rFonts w:ascii="Verdana" w:hAnsi="Verdana"/>
        </w:rPr>
        <w:t>poderá o interessado ofertar “Real Time dentro do Auditório Virtual”,</w:t>
      </w:r>
      <w:r w:rsidR="00671950" w:rsidRPr="005A7252">
        <w:rPr>
          <w:rFonts w:ascii="Verdana" w:hAnsi="Verdana"/>
        </w:rPr>
        <w:t xml:space="preserve"> </w:t>
      </w:r>
      <w:r w:rsidRPr="005A7252">
        <w:rPr>
          <w:rFonts w:ascii="Verdana" w:hAnsi="Verdana"/>
        </w:rPr>
        <w:t>valor e quantidade de parcelas diferente para cada lance ofertado as</w:t>
      </w:r>
      <w:r w:rsidR="00671950" w:rsidRPr="005A7252">
        <w:rPr>
          <w:rFonts w:ascii="Verdana" w:hAnsi="Verdana"/>
        </w:rPr>
        <w:t xml:space="preserve"> </w:t>
      </w:r>
      <w:r w:rsidRPr="005A7252">
        <w:rPr>
          <w:rFonts w:ascii="Verdana" w:hAnsi="Verdana"/>
        </w:rPr>
        <w:t xml:space="preserve">guias para pagamento das parcelas mensais deverão ser </w:t>
      </w:r>
      <w:r w:rsidR="0095233B" w:rsidRPr="005A7252">
        <w:rPr>
          <w:rFonts w:ascii="Verdana" w:hAnsi="Verdana"/>
        </w:rPr>
        <w:t>geradas pelo</w:t>
      </w:r>
      <w:r w:rsidRPr="005A7252">
        <w:rPr>
          <w:rFonts w:ascii="Verdana" w:hAnsi="Verdana"/>
        </w:rPr>
        <w:t xml:space="preserve"> próprio arrematante diretamente no site do Tribunal; deverá</w:t>
      </w:r>
      <w:r w:rsidR="00671950" w:rsidRPr="005A7252">
        <w:rPr>
          <w:rFonts w:ascii="Verdana" w:hAnsi="Verdana"/>
        </w:rPr>
        <w:t xml:space="preserve">  </w:t>
      </w:r>
      <w:r w:rsidRPr="005A7252">
        <w:rPr>
          <w:rFonts w:ascii="Verdana" w:hAnsi="Verdana"/>
        </w:rPr>
        <w:t>também o interessado atentar para o disposto nos demais parágrafos</w:t>
      </w:r>
      <w:r w:rsidR="00671950" w:rsidRPr="005A7252">
        <w:rPr>
          <w:rFonts w:ascii="Verdana" w:hAnsi="Verdana"/>
        </w:rPr>
        <w:t xml:space="preserve"> </w:t>
      </w:r>
      <w:r w:rsidRPr="005A7252">
        <w:rPr>
          <w:rFonts w:ascii="Verdana" w:hAnsi="Verdana"/>
        </w:rPr>
        <w:t>do artigo 895 quanto ao valor da parcela, das garantias, da</w:t>
      </w:r>
      <w:r w:rsidR="00671950" w:rsidRPr="005A7252">
        <w:rPr>
          <w:rFonts w:ascii="Verdana" w:hAnsi="Verdana"/>
        </w:rPr>
        <w:t xml:space="preserve"> </w:t>
      </w:r>
      <w:r w:rsidRPr="005A7252">
        <w:rPr>
          <w:rFonts w:ascii="Verdana" w:hAnsi="Verdana"/>
        </w:rPr>
        <w:t>atualização mensal das parcelas vincendas e da decisão exarada pelo</w:t>
      </w:r>
      <w:r w:rsidR="00671950" w:rsidRPr="005A7252">
        <w:rPr>
          <w:rFonts w:ascii="Verdana" w:hAnsi="Verdana"/>
        </w:rPr>
        <w:t xml:space="preserve"> </w:t>
      </w:r>
      <w:r w:rsidRPr="005A7252">
        <w:rPr>
          <w:rFonts w:ascii="Verdana" w:hAnsi="Verdana"/>
        </w:rPr>
        <w:t>MM. Juiz nos autos</w:t>
      </w:r>
      <w:r w:rsidR="00671950" w:rsidRPr="005A7252">
        <w:rPr>
          <w:rFonts w:ascii="Verdana" w:hAnsi="Verdana"/>
        </w:rPr>
        <w:t>.</w:t>
      </w:r>
    </w:p>
    <w:p w14:paraId="367864B3" w14:textId="77777777" w:rsidR="00B04FCD" w:rsidRPr="005A7252" w:rsidRDefault="00B04FCD" w:rsidP="005A7252">
      <w:pPr>
        <w:spacing w:line="360" w:lineRule="auto"/>
        <w:jc w:val="both"/>
        <w:rPr>
          <w:rFonts w:ascii="Verdana" w:hAnsi="Verdana"/>
        </w:rPr>
      </w:pPr>
      <w:r w:rsidRPr="005A7252">
        <w:rPr>
          <w:rFonts w:ascii="Verdana" w:hAnsi="Verdana"/>
        </w:rPr>
        <w:t xml:space="preserve">Das Garantias: Os bens serão vendidos em caráter “ad corpus”, e no estado em que se encontram, cabendo exclusivamente ao interessado fazer a verificação inclusive processual antes de ofertar lances; </w:t>
      </w:r>
      <w:r w:rsidRPr="005A7252">
        <w:rPr>
          <w:rFonts w:ascii="Verdana" w:hAnsi="Verdana"/>
        </w:rPr>
        <w:lastRenderedPageBreak/>
        <w:t>ressaltando que as visitações nem sempre é possível uma vez que na maioria das vezes os bens se encontram na posse do executado.</w:t>
      </w:r>
    </w:p>
    <w:p w14:paraId="43BBEBD0" w14:textId="77777777" w:rsidR="00B04FCD" w:rsidRPr="005A7252" w:rsidRDefault="00B04FCD" w:rsidP="005A7252">
      <w:pPr>
        <w:spacing w:line="360" w:lineRule="auto"/>
        <w:jc w:val="both"/>
        <w:rPr>
          <w:rFonts w:ascii="Verdana" w:hAnsi="Verdana"/>
        </w:rPr>
      </w:pPr>
      <w:r w:rsidRPr="005A7252">
        <w:rPr>
          <w:rFonts w:ascii="Verdana" w:hAnsi="Verdana"/>
        </w:rPr>
        <w:t>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w:t>
      </w:r>
    </w:p>
    <w:p w14:paraId="1B525AAA" w14:textId="77777777" w:rsidR="00B04FCD" w:rsidRPr="005A7252" w:rsidRDefault="00B04FCD" w:rsidP="005A7252">
      <w:pPr>
        <w:spacing w:line="360" w:lineRule="auto"/>
        <w:jc w:val="both"/>
        <w:rPr>
          <w:rFonts w:ascii="Verdana" w:hAnsi="Verdana"/>
        </w:rPr>
      </w:pPr>
      <w:r w:rsidRPr="005A7252">
        <w:rPr>
          <w:rFonts w:ascii="Verdana" w:hAnsi="Verdana"/>
        </w:rPr>
        <w:t>Recursos: Dos autos não consta recursos ou causa pendente de julgamento.</w:t>
      </w:r>
    </w:p>
    <w:p w14:paraId="416CE5E7" w14:textId="77777777" w:rsidR="00B04FCD" w:rsidRPr="005A7252" w:rsidRDefault="00B04FCD" w:rsidP="005A7252">
      <w:pPr>
        <w:spacing w:line="360" w:lineRule="auto"/>
        <w:jc w:val="both"/>
        <w:rPr>
          <w:rFonts w:ascii="Verdana" w:hAnsi="Verdana"/>
        </w:rPr>
      </w:pPr>
      <w:r w:rsidRPr="005A7252">
        <w:rPr>
          <w:rFonts w:ascii="Verdana" w:hAnsi="Verdana"/>
        </w:rPr>
        <w:t>Da Carta de arrematação: A carta de arrematação será expedida pelo MM. Juiz nos termos dos art. 901 e 903 do código de processo civil.</w:t>
      </w:r>
    </w:p>
    <w:p w14:paraId="09BCA6F6" w14:textId="77777777" w:rsidR="00B04FCD" w:rsidRPr="005A7252" w:rsidRDefault="00B04FCD" w:rsidP="005A7252">
      <w:pPr>
        <w:spacing w:line="360" w:lineRule="auto"/>
        <w:jc w:val="both"/>
        <w:rPr>
          <w:rFonts w:ascii="Verdana" w:hAnsi="Verdana"/>
        </w:rPr>
      </w:pPr>
      <w:r w:rsidRPr="005A7252">
        <w:rPr>
          <w:rFonts w:ascii="Verdana" w:hAnsi="Verdana"/>
        </w:rPr>
        <w:t>Dúvidas e Esclarecimentos: pessoalmente perante o 2° Ofício Cível, ou no escritório do leiloeiro oficial, Sr. Irani Flores, Av. Gaspar Vaz da Cunha n° 258, SP - Capital, ou ainda, pelo telefone (55 11) 3965-0000 / Whats App (55 11) 95662-5151, e e-mail: </w:t>
      </w:r>
      <w:hyperlink r:id="rId7" w:history="1">
        <w:r w:rsidRPr="005A7252">
          <w:rPr>
            <w:rStyle w:val="Hyperlink"/>
            <w:rFonts w:ascii="Verdana" w:hAnsi="Verdana"/>
          </w:rPr>
          <w:t>atendimento@leilaobrasil.com.br</w:t>
        </w:r>
      </w:hyperlink>
      <w:r w:rsidRPr="005A7252">
        <w:rPr>
          <w:rFonts w:ascii="Verdana" w:hAnsi="Verdana"/>
        </w:rPr>
        <w:t>.</w:t>
      </w:r>
    </w:p>
    <w:p w14:paraId="255DEF41" w14:textId="17EB4BAE" w:rsidR="00B04FCD" w:rsidRPr="005A7252" w:rsidRDefault="00B04FCD" w:rsidP="005A7252">
      <w:pPr>
        <w:spacing w:line="360" w:lineRule="auto"/>
        <w:jc w:val="both"/>
        <w:rPr>
          <w:rFonts w:ascii="Verdana" w:hAnsi="Verdana"/>
        </w:rPr>
      </w:pPr>
      <w:r w:rsidRPr="005A7252">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CPC. São Paulo, 07/06/202</w:t>
      </w:r>
      <w:r w:rsidR="00015C64">
        <w:rPr>
          <w:rFonts w:ascii="Verdana" w:hAnsi="Verdana"/>
        </w:rPr>
        <w:t>6</w:t>
      </w:r>
    </w:p>
    <w:p w14:paraId="3D8352CC" w14:textId="77777777" w:rsidR="00925948" w:rsidRPr="005A7252" w:rsidRDefault="00925948" w:rsidP="005A7252">
      <w:pPr>
        <w:spacing w:line="360" w:lineRule="auto"/>
        <w:jc w:val="both"/>
        <w:rPr>
          <w:rFonts w:ascii="Verdana" w:hAnsi="Verdana"/>
        </w:rPr>
      </w:pPr>
    </w:p>
    <w:sectPr w:rsidR="00925948" w:rsidRPr="005A7252" w:rsidSect="00F4170B">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D2C8" w14:textId="77777777" w:rsidR="007C3974" w:rsidRDefault="007C3974" w:rsidP="00671950">
      <w:pPr>
        <w:spacing w:after="0" w:line="240" w:lineRule="auto"/>
      </w:pPr>
      <w:r>
        <w:separator/>
      </w:r>
    </w:p>
  </w:endnote>
  <w:endnote w:type="continuationSeparator" w:id="0">
    <w:p w14:paraId="63EE9E2D" w14:textId="77777777" w:rsidR="007C3974" w:rsidRDefault="007C3974" w:rsidP="0067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3FF1" w14:textId="77777777" w:rsidR="007C3974" w:rsidRDefault="007C3974" w:rsidP="00671950">
      <w:pPr>
        <w:spacing w:after="0" w:line="240" w:lineRule="auto"/>
      </w:pPr>
      <w:r>
        <w:separator/>
      </w:r>
    </w:p>
  </w:footnote>
  <w:footnote w:type="continuationSeparator" w:id="0">
    <w:p w14:paraId="71CF49A0" w14:textId="77777777" w:rsidR="007C3974" w:rsidRDefault="007C3974" w:rsidP="00671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CD"/>
    <w:rsid w:val="00007F87"/>
    <w:rsid w:val="00015C64"/>
    <w:rsid w:val="00085D90"/>
    <w:rsid w:val="000C7A26"/>
    <w:rsid w:val="00135CB0"/>
    <w:rsid w:val="00180D1A"/>
    <w:rsid w:val="001815DC"/>
    <w:rsid w:val="001F6FAC"/>
    <w:rsid w:val="002070C8"/>
    <w:rsid w:val="00242D25"/>
    <w:rsid w:val="002463AD"/>
    <w:rsid w:val="002525E4"/>
    <w:rsid w:val="002D6E0F"/>
    <w:rsid w:val="003731EF"/>
    <w:rsid w:val="003B5C1C"/>
    <w:rsid w:val="003B6259"/>
    <w:rsid w:val="003F1A75"/>
    <w:rsid w:val="00406BDC"/>
    <w:rsid w:val="004073FF"/>
    <w:rsid w:val="00517AA1"/>
    <w:rsid w:val="00592AA7"/>
    <w:rsid w:val="005A7252"/>
    <w:rsid w:val="00671950"/>
    <w:rsid w:val="0067226D"/>
    <w:rsid w:val="006F0A5D"/>
    <w:rsid w:val="0073350C"/>
    <w:rsid w:val="00740CAA"/>
    <w:rsid w:val="007C3974"/>
    <w:rsid w:val="007D7EC3"/>
    <w:rsid w:val="007E3FA7"/>
    <w:rsid w:val="0084273A"/>
    <w:rsid w:val="00925948"/>
    <w:rsid w:val="00932218"/>
    <w:rsid w:val="0095233B"/>
    <w:rsid w:val="009D7858"/>
    <w:rsid w:val="00A364D4"/>
    <w:rsid w:val="00A4759C"/>
    <w:rsid w:val="00A576C4"/>
    <w:rsid w:val="00A63BAB"/>
    <w:rsid w:val="00A92971"/>
    <w:rsid w:val="00AB116D"/>
    <w:rsid w:val="00B04FCD"/>
    <w:rsid w:val="00B239B0"/>
    <w:rsid w:val="00B8062E"/>
    <w:rsid w:val="00BE0869"/>
    <w:rsid w:val="00BF1BEF"/>
    <w:rsid w:val="00C12BF0"/>
    <w:rsid w:val="00C8592E"/>
    <w:rsid w:val="00CB6E3D"/>
    <w:rsid w:val="00CD092C"/>
    <w:rsid w:val="00D1256B"/>
    <w:rsid w:val="00DA2BC0"/>
    <w:rsid w:val="00DE6D37"/>
    <w:rsid w:val="00E22CBB"/>
    <w:rsid w:val="00EE2571"/>
    <w:rsid w:val="00F416F6"/>
    <w:rsid w:val="00F417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7BE4"/>
  <w15:chartTrackingRefBased/>
  <w15:docId w15:val="{4925910B-2A90-432C-AA29-5760A36F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4F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4F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4F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4F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4F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4F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4FC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F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4F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4FC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4FC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4FC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4F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4F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4F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4FCD"/>
    <w:rPr>
      <w:rFonts w:eastAsiaTheme="majorEastAsia" w:cstheme="majorBidi"/>
      <w:color w:val="272727" w:themeColor="text1" w:themeTint="D8"/>
    </w:rPr>
  </w:style>
  <w:style w:type="paragraph" w:styleId="Ttulo">
    <w:name w:val="Title"/>
    <w:basedOn w:val="Normal"/>
    <w:next w:val="Normal"/>
    <w:link w:val="TtuloChar"/>
    <w:uiPriority w:val="10"/>
    <w:qFormat/>
    <w:rsid w:val="00B0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4F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4F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4F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4FCD"/>
    <w:pPr>
      <w:spacing w:before="160"/>
      <w:jc w:val="center"/>
    </w:pPr>
    <w:rPr>
      <w:i/>
      <w:iCs/>
      <w:color w:val="404040" w:themeColor="text1" w:themeTint="BF"/>
    </w:rPr>
  </w:style>
  <w:style w:type="character" w:customStyle="1" w:styleId="CitaoChar">
    <w:name w:val="Citação Char"/>
    <w:basedOn w:val="Fontepargpadro"/>
    <w:link w:val="Citao"/>
    <w:uiPriority w:val="29"/>
    <w:rsid w:val="00B04FCD"/>
    <w:rPr>
      <w:i/>
      <w:iCs/>
      <w:color w:val="404040" w:themeColor="text1" w:themeTint="BF"/>
    </w:rPr>
  </w:style>
  <w:style w:type="paragraph" w:styleId="PargrafodaLista">
    <w:name w:val="List Paragraph"/>
    <w:basedOn w:val="Normal"/>
    <w:uiPriority w:val="34"/>
    <w:qFormat/>
    <w:rsid w:val="00B04FCD"/>
    <w:pPr>
      <w:ind w:left="720"/>
      <w:contextualSpacing/>
    </w:pPr>
  </w:style>
  <w:style w:type="character" w:styleId="nfaseIntensa">
    <w:name w:val="Intense Emphasis"/>
    <w:basedOn w:val="Fontepargpadro"/>
    <w:uiPriority w:val="21"/>
    <w:qFormat/>
    <w:rsid w:val="00B04FCD"/>
    <w:rPr>
      <w:i/>
      <w:iCs/>
      <w:color w:val="0F4761" w:themeColor="accent1" w:themeShade="BF"/>
    </w:rPr>
  </w:style>
  <w:style w:type="paragraph" w:styleId="CitaoIntensa">
    <w:name w:val="Intense Quote"/>
    <w:basedOn w:val="Normal"/>
    <w:next w:val="Normal"/>
    <w:link w:val="CitaoIntensaChar"/>
    <w:uiPriority w:val="30"/>
    <w:qFormat/>
    <w:rsid w:val="00B0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4FCD"/>
    <w:rPr>
      <w:i/>
      <w:iCs/>
      <w:color w:val="0F4761" w:themeColor="accent1" w:themeShade="BF"/>
    </w:rPr>
  </w:style>
  <w:style w:type="character" w:styleId="RefernciaIntensa">
    <w:name w:val="Intense Reference"/>
    <w:basedOn w:val="Fontepargpadro"/>
    <w:uiPriority w:val="32"/>
    <w:qFormat/>
    <w:rsid w:val="00B04FCD"/>
    <w:rPr>
      <w:b/>
      <w:bCs/>
      <w:smallCaps/>
      <w:color w:val="0F4761" w:themeColor="accent1" w:themeShade="BF"/>
      <w:spacing w:val="5"/>
    </w:rPr>
  </w:style>
  <w:style w:type="character" w:styleId="Hyperlink">
    <w:name w:val="Hyperlink"/>
    <w:basedOn w:val="Fontepargpadro"/>
    <w:uiPriority w:val="99"/>
    <w:unhideWhenUsed/>
    <w:rsid w:val="00B04FCD"/>
    <w:rPr>
      <w:color w:val="467886" w:themeColor="hyperlink"/>
      <w:u w:val="single"/>
    </w:rPr>
  </w:style>
  <w:style w:type="character" w:styleId="MenoPendente">
    <w:name w:val="Unresolved Mention"/>
    <w:basedOn w:val="Fontepargpadro"/>
    <w:uiPriority w:val="99"/>
    <w:semiHidden/>
    <w:unhideWhenUsed/>
    <w:rsid w:val="00B04FCD"/>
    <w:rPr>
      <w:color w:val="605E5C"/>
      <w:shd w:val="clear" w:color="auto" w:fill="E1DFDD"/>
    </w:rPr>
  </w:style>
  <w:style w:type="paragraph" w:styleId="Cabealho">
    <w:name w:val="header"/>
    <w:basedOn w:val="Normal"/>
    <w:link w:val="CabealhoChar"/>
    <w:uiPriority w:val="99"/>
    <w:unhideWhenUsed/>
    <w:rsid w:val="00671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1950"/>
  </w:style>
  <w:style w:type="paragraph" w:styleId="Rodap">
    <w:name w:val="footer"/>
    <w:basedOn w:val="Normal"/>
    <w:link w:val="RodapChar"/>
    <w:uiPriority w:val="99"/>
    <w:unhideWhenUsed/>
    <w:rsid w:val="00671950"/>
    <w:pPr>
      <w:tabs>
        <w:tab w:val="center" w:pos="4252"/>
        <w:tab w:val="right" w:pos="8504"/>
      </w:tabs>
      <w:spacing w:after="0" w:line="240" w:lineRule="auto"/>
    </w:pPr>
  </w:style>
  <w:style w:type="character" w:customStyle="1" w:styleId="RodapChar">
    <w:name w:val="Rodapé Char"/>
    <w:basedOn w:val="Fontepargpadro"/>
    <w:link w:val="Rodap"/>
    <w:uiPriority w:val="99"/>
    <w:rsid w:val="0067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263">
      <w:bodyDiv w:val="1"/>
      <w:marLeft w:val="0"/>
      <w:marRight w:val="0"/>
      <w:marTop w:val="0"/>
      <w:marBottom w:val="0"/>
      <w:divBdr>
        <w:top w:val="none" w:sz="0" w:space="0" w:color="auto"/>
        <w:left w:val="none" w:sz="0" w:space="0" w:color="auto"/>
        <w:bottom w:val="none" w:sz="0" w:space="0" w:color="auto"/>
        <w:right w:val="none" w:sz="0" w:space="0" w:color="auto"/>
      </w:divBdr>
    </w:div>
    <w:div w:id="19845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tendimento@leilaobrasil.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laobrasil.com.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4191</Characters>
  <Application>Microsoft Office Word</Application>
  <DocSecurity>0</DocSecurity>
  <Lines>34</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3</cp:revision>
  <cp:lastPrinted>2026-07-17T12:42:00Z</cp:lastPrinted>
  <dcterms:created xsi:type="dcterms:W3CDTF">2026-07-17T12:39:00Z</dcterms:created>
  <dcterms:modified xsi:type="dcterms:W3CDTF">2026-07-17T12:42:00Z</dcterms:modified>
</cp:coreProperties>
</file>