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4821" w14:textId="5E92E8BF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 xml:space="preserve">Edital de 1° e 2° leilão de bem imóvel e para intimação de Vagner Bergamo, </w:t>
      </w:r>
      <w:r w:rsidR="004C3A55" w:rsidRPr="007B6156">
        <w:rPr>
          <w:rFonts w:ascii="Verdana" w:hAnsi="Verdana"/>
        </w:rPr>
        <w:t>e Lucy</w:t>
      </w:r>
      <w:r w:rsidRPr="007B6156">
        <w:rPr>
          <w:rFonts w:ascii="Verdana" w:hAnsi="Verdana"/>
        </w:rPr>
        <w:t xml:space="preserve"> Rosana Santin Bergamo, expedido nos autos da ação de execução de título extrajudicial que lhe requer Condomínio Edifício Green Park. Processo n° 0002827-45.2019.8.26.0704</w:t>
      </w:r>
    </w:p>
    <w:p w14:paraId="1205E7B1" w14:textId="704F3925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 xml:space="preserve">A Dra. Mônica de Cassia Thomaz Perez Reis Lobo, </w:t>
      </w:r>
      <w:r w:rsidR="004C3A55" w:rsidRPr="007B6156">
        <w:rPr>
          <w:rFonts w:ascii="Verdana" w:hAnsi="Verdana"/>
        </w:rPr>
        <w:t>Juíza</w:t>
      </w:r>
      <w:r w:rsidRPr="007B6156">
        <w:rPr>
          <w:rFonts w:ascii="Verdana" w:hAnsi="Verdana"/>
        </w:rPr>
        <w:t xml:space="preserve"> de Direito da 1ª Vara Cível do Foro Regional XV – Butantã, do Estado de São Paulo, na forma da lei, etc...</w:t>
      </w:r>
    </w:p>
    <w:p w14:paraId="079632A4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Faz Saber que o Leiloeiro Oficial, Sr. Irani Flores, JUCESP 792,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7B6156">
          <w:rPr>
            <w:rStyle w:val="Hyperlink"/>
            <w:rFonts w:ascii="Verdana" w:hAnsi="Verdana"/>
          </w:rPr>
          <w:t>www.leilaobrasil.com.br</w:t>
        </w:r>
      </w:hyperlink>
      <w:r w:rsidRPr="007B6156">
        <w:rPr>
          <w:rFonts w:ascii="Verdana" w:hAnsi="Verdana"/>
        </w:rPr>
        <w:t>.</w:t>
      </w:r>
    </w:p>
    <w:p w14:paraId="2821800B" w14:textId="48BA039F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 xml:space="preserve">Do Início e encerramento do Leilão: Início do 1° leilão em </w:t>
      </w:r>
      <w:r w:rsidR="009A50DF" w:rsidRPr="007B6156">
        <w:rPr>
          <w:rFonts w:ascii="Verdana" w:hAnsi="Verdana"/>
        </w:rPr>
        <w:t>03/10</w:t>
      </w:r>
      <w:r w:rsidR="004C3A55" w:rsidRPr="007B6156">
        <w:rPr>
          <w:rFonts w:ascii="Verdana" w:hAnsi="Verdana"/>
        </w:rPr>
        <w:t>/2025</w:t>
      </w:r>
      <w:r w:rsidRPr="007B6156">
        <w:rPr>
          <w:rFonts w:ascii="Verdana" w:hAnsi="Verdana"/>
        </w:rPr>
        <w:t xml:space="preserve"> às 10:</w:t>
      </w:r>
      <w:r w:rsidR="0064592C" w:rsidRPr="007B6156">
        <w:rPr>
          <w:rFonts w:ascii="Verdana" w:hAnsi="Verdana"/>
        </w:rPr>
        <w:t>13</w:t>
      </w:r>
      <w:r w:rsidRPr="007B6156">
        <w:rPr>
          <w:rFonts w:ascii="Verdana" w:hAnsi="Verdana"/>
        </w:rPr>
        <w:t xml:space="preserve"> horas e encerramento do 1° leilão em </w:t>
      </w:r>
      <w:r w:rsidR="009A50DF" w:rsidRPr="007B6156">
        <w:rPr>
          <w:rFonts w:ascii="Verdana" w:hAnsi="Verdana"/>
        </w:rPr>
        <w:t>06/10</w:t>
      </w:r>
      <w:r w:rsidR="004C3A55" w:rsidRPr="007B6156">
        <w:rPr>
          <w:rFonts w:ascii="Verdana" w:hAnsi="Verdana"/>
        </w:rPr>
        <w:t>/2025</w:t>
      </w:r>
      <w:r w:rsidRPr="007B6156">
        <w:rPr>
          <w:rFonts w:ascii="Verdana" w:hAnsi="Verdana"/>
        </w:rPr>
        <w:t xml:space="preserve"> às 10:</w:t>
      </w:r>
      <w:r w:rsidR="0064592C" w:rsidRPr="007B6156">
        <w:rPr>
          <w:rFonts w:ascii="Verdana" w:hAnsi="Verdana"/>
        </w:rPr>
        <w:t>13</w:t>
      </w:r>
      <w:r w:rsidRPr="007B6156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4C3A55" w:rsidRPr="007B6156">
        <w:rPr>
          <w:rFonts w:ascii="Verdana" w:hAnsi="Verdana"/>
        </w:rPr>
        <w:t xml:space="preserve"> </w:t>
      </w:r>
      <w:r w:rsidR="009A50DF" w:rsidRPr="007B6156">
        <w:rPr>
          <w:rFonts w:ascii="Verdana" w:hAnsi="Verdana"/>
        </w:rPr>
        <w:t>31/10</w:t>
      </w:r>
      <w:r w:rsidR="004C3A55" w:rsidRPr="007B6156">
        <w:rPr>
          <w:rFonts w:ascii="Verdana" w:hAnsi="Verdana"/>
        </w:rPr>
        <w:t>/2025</w:t>
      </w:r>
      <w:r w:rsidRPr="007B6156">
        <w:rPr>
          <w:rFonts w:ascii="Verdana" w:hAnsi="Verdana"/>
        </w:rPr>
        <w:t xml:space="preserve"> às 10:</w:t>
      </w:r>
      <w:r w:rsidR="0064592C" w:rsidRPr="007B6156">
        <w:rPr>
          <w:rFonts w:ascii="Verdana" w:hAnsi="Verdana"/>
        </w:rPr>
        <w:t>13</w:t>
      </w:r>
      <w:r w:rsidRPr="007B6156">
        <w:rPr>
          <w:rFonts w:ascii="Verdana" w:hAnsi="Verdana"/>
        </w:rPr>
        <w:t xml:space="preserve"> horas, não sendo aceito lances inferiores a 60% do valor da avaliação atualizada pelos índices do TJSP para a data da abertura do leilão  que deverá ser ofertado  diretamente no sistema gestor através da internet.</w:t>
      </w:r>
    </w:p>
    <w:p w14:paraId="2839DDE5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Bem:  Apartamento de nº 12, localizado no 1º andar ou 3º pavimento do Edifício Green Park, situado à Rua Doutor Oscar Monteiro de Barros, nº 360, no 13º Subdistrito, Butantã, com área útil de 122,85m², a área comum de 188,71m², a área total de 311,56m², correspondendo-lhe no terreno do condomínio, uma fração ideal de 5,2145%, cabendo-lhe o direito a 3 vagas e 01 depósito indeterminados, localizados no 1º e 2º subsolos do edifício. Matrícula nº 146.211 do 18º Cartório de Registo de Imóveis de São Paulo / SP. Contribuinte: 171.183.0098-4 Ônus: Consta na Av.9 penhora exequenda.   Débito Condominial de R$ 580.470,54 (março de 2024). Em consulta ao site da Prefeitura, foram verificados débitos no valor de R$ 83.166,25 (abril/2024).</w:t>
      </w:r>
    </w:p>
    <w:p w14:paraId="4F026100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lastRenderedPageBreak/>
        <w:t>Avaliação no valor de R$ 717.000,00 (agosto/2022)</w:t>
      </w:r>
    </w:p>
    <w:p w14:paraId="2950096E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código de processo civil, ainda que cadastrados e habilitados no sistema.</w:t>
      </w:r>
    </w:p>
    <w:p w14:paraId="7E867EEC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8C02C42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Da Comissão: A comissão do leiloeiro será de 5% sobre o valor da arrematação, não estando incluída no valor da arrematação e deverá ser paga diretamente para o leiloeiro.</w:t>
      </w:r>
    </w:p>
    <w:p w14:paraId="4F6E91A7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Da Adjudicação: Condicionada aos termos do art. 876 e 892, § 1° do código de processo civil.</w:t>
      </w:r>
    </w:p>
    <w:p w14:paraId="5FD69DEA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Do pagamento: O arrematante terá o prazo de 24 horas para efetuar o pagamento das guias da arrematação e da comissão do Leiloeiro.</w:t>
      </w:r>
    </w:p>
    <w:p w14:paraId="17313D34" w14:textId="77777777" w:rsidR="000116FE" w:rsidRPr="007B6156" w:rsidRDefault="000116FE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Do pagamento parcelado: O parcelamento da arrematação dar-se-á nos termos da Lei; artigo 895 do código de processo civil, “§ 2º, 7º e 8º todos do mesmo artigo e artigo 14 e 22 da Resolução 236/2016 do CNJ, compreendendo a ampla divulgação e transparência necessárias ao judiciário; ainda, poderá o interessado ofertar “Real Time dentro do Auditório Virtual”, valor e quantidade de parcelas diferente para cada lance ofertado,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6FFD37FF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05A2B8B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civil.</w:t>
      </w:r>
    </w:p>
    <w:p w14:paraId="7E4561B6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Recursos: Dos autos não consta recursos ou causa pendente de julgamento.</w:t>
      </w:r>
    </w:p>
    <w:p w14:paraId="46C28ABD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305145CF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Dúvidas e Esclarecimentos: pessoalmente perante o 4° Ofício Cível, ou no escritório do leiloeiro oficial, Sr. Irani Flores, Avenida Paulista, 2421, 2º andar, SP - Capital, ou ainda, pelo telefone 55 11 3965-0000 / Whats App 55 11 95662-5151, e e-mail: </w:t>
      </w:r>
      <w:hyperlink r:id="rId5" w:history="1">
        <w:r w:rsidRPr="007B6156">
          <w:rPr>
            <w:rStyle w:val="Hyperlink"/>
            <w:rFonts w:ascii="Verdana" w:hAnsi="Verdana"/>
          </w:rPr>
          <w:t>atendimento@leilaobrasil.com.br</w:t>
        </w:r>
      </w:hyperlink>
    </w:p>
    <w:p w14:paraId="38EFE52D" w14:textId="77777777" w:rsidR="00485E74" w:rsidRPr="007B6156" w:rsidRDefault="00485E74" w:rsidP="007B6156">
      <w:pPr>
        <w:spacing w:line="360" w:lineRule="auto"/>
        <w:jc w:val="both"/>
        <w:rPr>
          <w:rFonts w:ascii="Verdana" w:hAnsi="Verdana"/>
        </w:rPr>
      </w:pPr>
      <w:r w:rsidRPr="007B6156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civil, São Paulo, 12/10/2024</w:t>
      </w:r>
    </w:p>
    <w:p w14:paraId="11289401" w14:textId="77777777" w:rsidR="00925948" w:rsidRPr="007B6156" w:rsidRDefault="00925948" w:rsidP="007B6156">
      <w:pPr>
        <w:spacing w:line="360" w:lineRule="auto"/>
        <w:jc w:val="both"/>
        <w:rPr>
          <w:rFonts w:ascii="Verdana" w:hAnsi="Verdana"/>
        </w:rPr>
      </w:pPr>
    </w:p>
    <w:sectPr w:rsidR="00925948" w:rsidRPr="007B6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74"/>
    <w:rsid w:val="000116FE"/>
    <w:rsid w:val="00026882"/>
    <w:rsid w:val="000B0B8B"/>
    <w:rsid w:val="004073FF"/>
    <w:rsid w:val="00485E74"/>
    <w:rsid w:val="004C2A6E"/>
    <w:rsid w:val="004C3A55"/>
    <w:rsid w:val="00616C1A"/>
    <w:rsid w:val="0064592C"/>
    <w:rsid w:val="007B6156"/>
    <w:rsid w:val="00817929"/>
    <w:rsid w:val="008B0569"/>
    <w:rsid w:val="00925948"/>
    <w:rsid w:val="009A50DF"/>
    <w:rsid w:val="00A576C4"/>
    <w:rsid w:val="00A83340"/>
    <w:rsid w:val="00B85E7E"/>
    <w:rsid w:val="00D504B2"/>
    <w:rsid w:val="00E20B2F"/>
    <w:rsid w:val="00E41592"/>
    <w:rsid w:val="00E41B4C"/>
    <w:rsid w:val="00E85008"/>
    <w:rsid w:val="00E908D6"/>
    <w:rsid w:val="00E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D51B"/>
  <w15:chartTrackingRefBased/>
  <w15:docId w15:val="{740676ED-8ABD-4D88-A456-87761074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5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5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5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5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5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5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5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5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5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5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5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5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5E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5E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5E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5E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5E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5E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5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5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5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5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5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5E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5E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5E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5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5E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5E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85E7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4417</Characters>
  <Application>Microsoft Office Word</Application>
  <DocSecurity>4</DocSecurity>
  <Lines>36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2025-08-07T13:15:00Z</dcterms:created>
  <dcterms:modified xsi:type="dcterms:W3CDTF">2025-08-07T13:15:00Z</dcterms:modified>
</cp:coreProperties>
</file>