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8166" w14:textId="72B3F049" w:rsidR="00DA32AA" w:rsidRDefault="00DA32AA" w:rsidP="0053633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</w:t>
      </w:r>
      <w:r w:rsidRPr="00536334">
        <w:rPr>
          <w:rFonts w:ascii="Verdana" w:hAnsi="Verdana"/>
        </w:rPr>
        <w:t>2ª Vara Cível do Foro de Vila Prudente</w:t>
      </w:r>
    </w:p>
    <w:p w14:paraId="20EF8264" w14:textId="77777777" w:rsidR="00DA32AA" w:rsidRDefault="00DA32AA" w:rsidP="00536334">
      <w:pPr>
        <w:spacing w:line="360" w:lineRule="auto"/>
        <w:jc w:val="both"/>
        <w:rPr>
          <w:rFonts w:ascii="Verdana" w:hAnsi="Verdana"/>
        </w:rPr>
      </w:pPr>
    </w:p>
    <w:p w14:paraId="00AECE86" w14:textId="3547DCD4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Edital de 1º e 2º Leilao de bem imóvel, para intimação do executado Wilson Roberto de Pádua, bem como seu cônjuge se casado for, e do credor hipotecário Banco do Brasil S/A, expedido nos autos da Ação de Execução de Título Extrajudicial, que lhe requer Caixa de Previdência dos Funcionários do Banco do Brasil - Previ. Processo n° 0110707-04.2006.8.26.0009</w:t>
      </w:r>
    </w:p>
    <w:p w14:paraId="4D35989C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O Dr. Otávio Augusto de Oliveira Franco, Juiz de Direito da 2ª Vara Cível do Foro de Vila Prudente, do Estado de São Paulo, na forma da lei, etc...</w:t>
      </w:r>
    </w:p>
    <w:p w14:paraId="1C2C7FC7" w14:textId="4165E32B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 xml:space="preserve">FAZ SABER que, o leiloeiro oficial, Sr. Irani Flores, JUCESP 792, levará a leilão público para venda e arrematação, no local e hora descritos no </w:t>
      </w:r>
      <w:r w:rsidR="00762C6E" w:rsidRPr="00536334">
        <w:rPr>
          <w:rFonts w:ascii="Verdana" w:hAnsi="Verdana"/>
        </w:rPr>
        <w:t xml:space="preserve">edital </w:t>
      </w:r>
      <w:r w:rsidRPr="00536334">
        <w:rPr>
          <w:rFonts w:ascii="Verdana" w:hAnsi="Verdana"/>
        </w:rPr>
        <w:t>com transmissão ao vivo pela internet e disponibilização imediata na plataforma de leilões eletrônico, </w:t>
      </w:r>
      <w:hyperlink r:id="rId4" w:history="1">
        <w:r w:rsidRPr="00536334">
          <w:rPr>
            <w:rStyle w:val="Hyperlink"/>
            <w:rFonts w:ascii="Verdana" w:hAnsi="Verdana"/>
          </w:rPr>
          <w:t>www.leilaobrasil.com.br</w:t>
        </w:r>
      </w:hyperlink>
      <w:r w:rsidRPr="00536334">
        <w:rPr>
          <w:rFonts w:ascii="Verdana" w:hAnsi="Verdana"/>
        </w:rPr>
        <w:t>, para lances pela internet:</w:t>
      </w:r>
    </w:p>
    <w:p w14:paraId="722EB1D5" w14:textId="15BDCDC6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 xml:space="preserve">Do início e encerramento do leilão: início do 1º leilão  em </w:t>
      </w:r>
      <w:r w:rsidR="00106358">
        <w:rPr>
          <w:rFonts w:ascii="Verdana" w:hAnsi="Verdana"/>
        </w:rPr>
        <w:t>07/08</w:t>
      </w:r>
      <w:r w:rsidR="002338AD" w:rsidRPr="00536334">
        <w:rPr>
          <w:rFonts w:ascii="Verdana" w:hAnsi="Verdana"/>
        </w:rPr>
        <w:t>/2026</w:t>
      </w:r>
      <w:r w:rsidRPr="00536334">
        <w:rPr>
          <w:rFonts w:ascii="Verdana" w:hAnsi="Verdana"/>
        </w:rPr>
        <w:t xml:space="preserve"> às 10:</w:t>
      </w:r>
      <w:r w:rsidR="00106358">
        <w:rPr>
          <w:rFonts w:ascii="Verdana" w:hAnsi="Verdana"/>
        </w:rPr>
        <w:t>09</w:t>
      </w:r>
      <w:r w:rsidRPr="00536334">
        <w:rPr>
          <w:rFonts w:ascii="Verdana" w:hAnsi="Verdana"/>
        </w:rPr>
        <w:t xml:space="preserve"> horas e encerramento do 1º leilão  em</w:t>
      </w:r>
      <w:r w:rsidR="002E56CE" w:rsidRPr="00536334">
        <w:rPr>
          <w:rFonts w:ascii="Verdana" w:hAnsi="Verdana"/>
        </w:rPr>
        <w:t xml:space="preserve"> </w:t>
      </w:r>
      <w:r w:rsidR="00106358">
        <w:rPr>
          <w:rFonts w:ascii="Verdana" w:hAnsi="Verdana"/>
        </w:rPr>
        <w:t>10/08</w:t>
      </w:r>
      <w:r w:rsidR="002338AD" w:rsidRPr="00536334">
        <w:rPr>
          <w:rFonts w:ascii="Verdana" w:hAnsi="Verdana"/>
        </w:rPr>
        <w:t>/2026</w:t>
      </w:r>
      <w:r w:rsidRPr="00536334">
        <w:rPr>
          <w:rFonts w:ascii="Verdana" w:hAnsi="Verdana"/>
        </w:rPr>
        <w:t xml:space="preserve"> às 10:</w:t>
      </w:r>
      <w:r w:rsidR="00106358">
        <w:rPr>
          <w:rFonts w:ascii="Verdana" w:hAnsi="Verdana"/>
        </w:rPr>
        <w:t>09</w:t>
      </w:r>
      <w:r w:rsidRPr="00536334">
        <w:rPr>
          <w:rFonts w:ascii="Verdana" w:hAnsi="Verdana"/>
        </w:rPr>
        <w:t xml:space="preserve"> horas; em não havendo lance igual ou superior ao valor da avaliação atualizada para a data supra, seguir-se-á sem interrupção a 2ª praça do leilão que se encerrará em</w:t>
      </w:r>
      <w:r w:rsidR="002338AD" w:rsidRPr="00536334">
        <w:rPr>
          <w:rFonts w:ascii="Verdana" w:hAnsi="Verdana"/>
        </w:rPr>
        <w:t xml:space="preserve"> </w:t>
      </w:r>
      <w:r w:rsidR="00106358">
        <w:rPr>
          <w:rFonts w:ascii="Verdana" w:hAnsi="Verdana"/>
        </w:rPr>
        <w:t>04/09</w:t>
      </w:r>
      <w:r w:rsidR="002338AD" w:rsidRPr="00536334">
        <w:rPr>
          <w:rFonts w:ascii="Verdana" w:hAnsi="Verdana"/>
        </w:rPr>
        <w:t>/2026</w:t>
      </w:r>
      <w:r w:rsidRPr="00536334">
        <w:rPr>
          <w:rFonts w:ascii="Verdana" w:hAnsi="Verdana"/>
        </w:rPr>
        <w:t xml:space="preserve"> às 10:</w:t>
      </w:r>
      <w:r w:rsidR="00106358">
        <w:rPr>
          <w:rFonts w:ascii="Verdana" w:hAnsi="Verdana"/>
        </w:rPr>
        <w:t>09</w:t>
      </w:r>
      <w:r w:rsidRPr="00536334">
        <w:rPr>
          <w:rFonts w:ascii="Verdana" w:hAnsi="Verdana"/>
        </w:rPr>
        <w:t xml:space="preserve"> horas, não sendo aceito lances inferiores a 65% do valor da avaliação atualizada para a data da abertura do leilão que deverá ser ofertado diretamente na plataforma de leilões através da internet e posteriormente sub metido para apreciação e decisão do MM. Juiz.</w:t>
      </w:r>
    </w:p>
    <w:p w14:paraId="1B3BA5E2" w14:textId="6CD348A3" w:rsidR="004C3247" w:rsidRPr="004C3247" w:rsidRDefault="001406D8" w:rsidP="004C3247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Bem: Casa e seu respectivo terreno situados à Rua Chamantá n° 289, parte dos lotes 16, 17, 18 e 19 da quadra 82, do Parque da Mooca, no 26° subdistrito Vila Prudente, medindo 23,60m de frente para a Rua Chamantá</w:t>
      </w:r>
      <w:r w:rsidR="00FE614B" w:rsidRPr="00536334">
        <w:rPr>
          <w:rFonts w:ascii="Verdana" w:hAnsi="Verdana"/>
        </w:rPr>
        <w:t>,</w:t>
      </w:r>
      <w:r w:rsidRPr="00536334">
        <w:rPr>
          <w:rFonts w:ascii="Verdana" w:hAnsi="Verdana"/>
        </w:rPr>
        <w:t xml:space="preserve"> do lado esquerdo de quem da rua olha para o imóvel, mede 16m, da frente aos fundos; do lado direito mede 1,50m na confluência </w:t>
      </w:r>
      <w:r w:rsidRPr="00536334">
        <w:rPr>
          <w:rFonts w:ascii="Verdana" w:hAnsi="Verdana"/>
        </w:rPr>
        <w:lastRenderedPageBreak/>
        <w:t xml:space="preserve">da Rua Chamantá com a Rua Doutor Mário Savi, nos fundos mede 27,70m, encerrando a área de 240 m², confrontando, de quem da rua olha para o imóvel, pelo lado direito e nos fundos com a Rua Doutor Mário Savi, e do lado esquerdo com o prédio n° 285 da Rua Chamantá. INFORMAÇÕES DO PERITO: Trata-se de uma casa térrea com 200 m² de área construída, possui entrada lateral, área verde, armários embutidos, garagem para três veículos, sala de estar/jantar, dois dormitórios, suíte, banheiro social, cozinha, despensa e lavanderia. Contribuinte 052.328.0019-1. Matrícula n° 113.813 do 6° CRI de São Paulo. Ônus: Consta no R.4 que o imóvel foi dado em hipoteca em favor da Caixa de Previdência dos Funcionários do Banco do Brasil - Previ. Consta no R.5 que o imóvel foi dado em hipoteca em favor do Banco do Brasil S/A. Consta na Av.6 que o imóvel foi penhorado no processo n° 0110707-04.2006.8.26.0009 da 2ª Vara Cível de Vila Prudente.  Débitos encontrados no site da Prefeitura Municipal de São Paulo, R$ </w:t>
      </w:r>
      <w:r w:rsidR="004C3247" w:rsidRPr="004C3247">
        <w:rPr>
          <w:rFonts w:ascii="Verdana" w:hAnsi="Verdana"/>
        </w:rPr>
        <w:t>46.296,51</w:t>
      </w:r>
      <w:r w:rsidR="004C3247">
        <w:rPr>
          <w:rFonts w:ascii="Verdana" w:hAnsi="Verdana"/>
        </w:rPr>
        <w:t xml:space="preserve"> (fev</w:t>
      </w:r>
      <w:r w:rsidRPr="00536334">
        <w:rPr>
          <w:rFonts w:ascii="Verdana" w:hAnsi="Verdana"/>
        </w:rPr>
        <w:t>/202</w:t>
      </w:r>
      <w:r w:rsidR="004C3247">
        <w:rPr>
          <w:rFonts w:ascii="Verdana" w:hAnsi="Verdana"/>
        </w:rPr>
        <w:t>6</w:t>
      </w:r>
      <w:r w:rsidRPr="00536334">
        <w:rPr>
          <w:rFonts w:ascii="Verdana" w:hAnsi="Verdana"/>
        </w:rPr>
        <w:t>)</w:t>
      </w:r>
      <w:r w:rsidR="004C3247">
        <w:rPr>
          <w:rFonts w:ascii="Verdana" w:hAnsi="Verdana"/>
        </w:rPr>
        <w:t xml:space="preserve">, Débito exequendo R$ </w:t>
      </w:r>
      <w:r w:rsidR="004C3247" w:rsidRPr="004C3247">
        <w:rPr>
          <w:rFonts w:ascii="Verdana" w:hAnsi="Verdana"/>
        </w:rPr>
        <w:t>R$1.287.690,6</w:t>
      </w:r>
      <w:r w:rsidR="004C3247">
        <w:rPr>
          <w:rFonts w:ascii="Verdana" w:hAnsi="Verdana"/>
        </w:rPr>
        <w:t xml:space="preserve">4 extraída do processo nas fls. </w:t>
      </w:r>
      <w:r w:rsidR="00DA32AA">
        <w:rPr>
          <w:rFonts w:ascii="Verdana" w:hAnsi="Verdana"/>
        </w:rPr>
        <w:t>983-991 (jun/2024)</w:t>
      </w:r>
    </w:p>
    <w:p w14:paraId="04692F98" w14:textId="1317937D" w:rsidR="001406D8" w:rsidRPr="00536334" w:rsidRDefault="004C3247" w:rsidP="0053633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52538D65" w14:textId="0AA1095B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Avaliação R$ 802.060,00 (dezembro/2016).</w:t>
      </w:r>
      <w:r w:rsidR="004C3247">
        <w:rPr>
          <w:rFonts w:ascii="Verdana" w:hAnsi="Verdana"/>
        </w:rPr>
        <w:t xml:space="preserve"> Avaliação atualizada R$ </w:t>
      </w:r>
      <w:r w:rsidR="004C3247" w:rsidRPr="004C3247">
        <w:rPr>
          <w:rFonts w:ascii="Verdana" w:hAnsi="Verdana"/>
        </w:rPr>
        <w:t>1.239.945,11</w:t>
      </w:r>
      <w:r w:rsidR="004C3247">
        <w:rPr>
          <w:rFonts w:ascii="Verdana" w:hAnsi="Verdana"/>
        </w:rPr>
        <w:t xml:space="preserve"> (fev/2026)</w:t>
      </w:r>
    </w:p>
    <w:p w14:paraId="6A6437DA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1BF9012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Da Prorrogação do Leilão: Sobrevindo lance a menos de três minutos para o enceramento, o sistema prorrogará automaticamente por mais três minutos sucessivamente para que todos tenham as mesmas chances.</w:t>
      </w:r>
    </w:p>
    <w:p w14:paraId="4D06CF44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lastRenderedPageBreak/>
        <w:t>Da Comissão: A comissão do leiloeiro será de 5% sobre o valor da arrematação, não estando incluída no valor da arrematação e deverá ser paga diretamente ao Leiloeiro.</w:t>
      </w:r>
    </w:p>
    <w:p w14:paraId="194A3D8B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Da Adjudicação: Condicionada aos termos do art. 876 e 892, § 1° do código de processo civil.</w:t>
      </w:r>
    </w:p>
    <w:p w14:paraId="5027CF2B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Do pagamento: O arrematante terá o prazo de 24 horas para efetuar o pagamento da arrematação e da comissão.</w:t>
      </w:r>
    </w:p>
    <w:p w14:paraId="66693658" w14:textId="06945FDF" w:rsidR="004A6879" w:rsidRPr="00536334" w:rsidRDefault="004A6879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Do pagamento parcelado: O parcelamento da arrematação dar-se-á nos termos da Lei; artigo 895 do código de processo civil, “§ 2º, 7º e 8º todos do mesmo artigo e artigo 14 e 22 da Resolução 236/2016 do CNJ, compreendendo a ampla divulgação e transparência necessárias ao judiciário; ainda, poderá o interessado ofertar “Real Time dentro do Auditório Virtual”, valor e quantidade de parcelas diferente para cada lance ofertado,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</w:t>
      </w:r>
    </w:p>
    <w:p w14:paraId="12460751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Do Direito de Preferência: Conforme decisão da MM. Juíza nos autos, consigna-se que o devedor ou respectivo cônjuge, dependentes, descendentes, ascendentes, coproprietários têm preferência na aquisição dos bens, em igualdade de condições e desde que depositem integral valor do preço alcançado.</w:t>
      </w:r>
    </w:p>
    <w:p w14:paraId="23937A2E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6BC302B0" w14:textId="565D7EE1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lastRenderedPageBreak/>
        <w:t>Responsabilidade outras: Correrão por conta exclusiva do arrematante as despesas gerais relativas à desmontagem, transporte e transferência patrimonial dos bens arrematados, art. 24 do Provimento CSM 1625/2009; exceto os que se enquadrem nos art. 130, § único do CTN</w:t>
      </w:r>
      <w:r w:rsidR="004C3247">
        <w:rPr>
          <w:rFonts w:ascii="Verdana" w:hAnsi="Verdana"/>
        </w:rPr>
        <w:t xml:space="preserve"> </w:t>
      </w:r>
      <w:r w:rsidR="004C3247" w:rsidRPr="004C3247">
        <w:rPr>
          <w:rFonts w:ascii="Verdana" w:hAnsi="Verdana"/>
        </w:rPr>
        <w:t>serão sub-rogados no valor da arrematação.</w:t>
      </w:r>
    </w:p>
    <w:p w14:paraId="334AFAD2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Recursos: Dos autos não consta recursos ou causa pendente de julgamento.</w:t>
      </w:r>
    </w:p>
    <w:p w14:paraId="5E851EE2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33FEA0B7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Dúvidas e Esclarecimentos: pessoalmente perante o 1° Ofício Cível, ou no escritório do leiloeiro oficial, Sr. Irani Flores, Av. Gaspar Vaz da Cunha n° 258, SP - Capital, ou ainda, pelo telefone (55 11) 3965-0000 / Whats App (55 11) 95662-5151, e e-mail: </w:t>
      </w:r>
      <w:hyperlink r:id="rId5" w:history="1">
        <w:r w:rsidRPr="00536334">
          <w:rPr>
            <w:rStyle w:val="Hyperlink"/>
            <w:rFonts w:ascii="Verdana" w:hAnsi="Verdana"/>
          </w:rPr>
          <w:t>atendimento@leilaobrasil.com.br</w:t>
        </w:r>
      </w:hyperlink>
      <w:r w:rsidRPr="00536334">
        <w:rPr>
          <w:rFonts w:ascii="Verdana" w:hAnsi="Verdana"/>
        </w:rPr>
        <w:t>.</w:t>
      </w:r>
    </w:p>
    <w:p w14:paraId="12C4FE43" w14:textId="1AC3F35D" w:rsidR="0092594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 e art. 887, §2° do código de processo civil. São Paulo, </w:t>
      </w:r>
      <w:r w:rsidR="00DA32AA">
        <w:rPr>
          <w:rFonts w:ascii="Verdana" w:hAnsi="Verdana"/>
        </w:rPr>
        <w:t>26/02/2026</w:t>
      </w:r>
    </w:p>
    <w:sectPr w:rsidR="00925948" w:rsidRPr="005363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D8"/>
    <w:rsid w:val="000471EA"/>
    <w:rsid w:val="000A371F"/>
    <w:rsid w:val="000E47C4"/>
    <w:rsid w:val="00102D3D"/>
    <w:rsid w:val="00106358"/>
    <w:rsid w:val="001406D8"/>
    <w:rsid w:val="001D2A8A"/>
    <w:rsid w:val="002338AD"/>
    <w:rsid w:val="00233D01"/>
    <w:rsid w:val="002E56CE"/>
    <w:rsid w:val="00381192"/>
    <w:rsid w:val="003B5C1C"/>
    <w:rsid w:val="004073FF"/>
    <w:rsid w:val="00494DCA"/>
    <w:rsid w:val="004A6879"/>
    <w:rsid w:val="004C3247"/>
    <w:rsid w:val="00536334"/>
    <w:rsid w:val="00562329"/>
    <w:rsid w:val="00641EA7"/>
    <w:rsid w:val="00657B46"/>
    <w:rsid w:val="006A4C21"/>
    <w:rsid w:val="006E7374"/>
    <w:rsid w:val="00725C05"/>
    <w:rsid w:val="00762C6E"/>
    <w:rsid w:val="007A40C9"/>
    <w:rsid w:val="007C6EDD"/>
    <w:rsid w:val="00815F58"/>
    <w:rsid w:val="00817929"/>
    <w:rsid w:val="008272A5"/>
    <w:rsid w:val="008B148E"/>
    <w:rsid w:val="008E4062"/>
    <w:rsid w:val="00917AD1"/>
    <w:rsid w:val="00925948"/>
    <w:rsid w:val="00961720"/>
    <w:rsid w:val="00A576C4"/>
    <w:rsid w:val="00AA6E05"/>
    <w:rsid w:val="00AE494F"/>
    <w:rsid w:val="00B36D12"/>
    <w:rsid w:val="00B37951"/>
    <w:rsid w:val="00C824E5"/>
    <w:rsid w:val="00CE4100"/>
    <w:rsid w:val="00DA32AA"/>
    <w:rsid w:val="00DE06D7"/>
    <w:rsid w:val="00DE2CD4"/>
    <w:rsid w:val="00EE2571"/>
    <w:rsid w:val="00F07966"/>
    <w:rsid w:val="00F444BE"/>
    <w:rsid w:val="00F5258B"/>
    <w:rsid w:val="00FE614B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C777"/>
  <w15:chartTrackingRefBased/>
  <w15:docId w15:val="{C181CEDE-54EF-40DA-9493-2AAEDAE5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0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0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0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0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0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0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0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0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0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06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06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06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06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06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06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0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06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06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06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0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06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06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406D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0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1012</Words>
  <Characters>5466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2026-06-02T16:41:00Z</dcterms:created>
  <dcterms:modified xsi:type="dcterms:W3CDTF">2026-06-02T16:41:00Z</dcterms:modified>
</cp:coreProperties>
</file>