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2074" w14:textId="77777777" w:rsidR="004122A2" w:rsidRDefault="004122A2">
      <w:pPr>
        <w:spacing w:line="360" w:lineRule="auto"/>
        <w:jc w:val="both"/>
        <w:rPr>
          <w:rFonts w:ascii="Verdana" w:eastAsia="Verdana" w:hAnsi="Verdana" w:cs="Verdana"/>
        </w:rPr>
      </w:pPr>
    </w:p>
    <w:p w14:paraId="1578F9E1" w14:textId="469148B4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Edital de 1º e 2º leilão </w:t>
      </w:r>
      <w:r w:rsidR="008B4393">
        <w:rPr>
          <w:rFonts w:ascii="Verdana" w:eastAsia="Verdana" w:hAnsi="Verdana" w:cs="Verdana"/>
        </w:rPr>
        <w:t>dos direitos sobre o</w:t>
      </w:r>
      <w:r>
        <w:rPr>
          <w:rFonts w:ascii="Verdana" w:eastAsia="Verdana" w:hAnsi="Verdana" w:cs="Verdana"/>
        </w:rPr>
        <w:t xml:space="preserve"> bem imóvel e para intimação de Claudimar </w:t>
      </w:r>
      <w:proofErr w:type="spellStart"/>
      <w:r>
        <w:rPr>
          <w:rFonts w:ascii="Verdana" w:eastAsia="Verdana" w:hAnsi="Verdana" w:cs="Verdana"/>
        </w:rPr>
        <w:t>Izildo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Segatelli</w:t>
      </w:r>
      <w:proofErr w:type="spellEnd"/>
      <w:r>
        <w:rPr>
          <w:rFonts w:ascii="Verdana" w:eastAsia="Verdana" w:hAnsi="Verdana" w:cs="Verdana"/>
        </w:rPr>
        <w:t xml:space="preserve">, João Antônio </w:t>
      </w:r>
      <w:proofErr w:type="spellStart"/>
      <w:r>
        <w:rPr>
          <w:rFonts w:ascii="Verdana" w:eastAsia="Verdana" w:hAnsi="Verdana" w:cs="Verdana"/>
        </w:rPr>
        <w:t>Segatelli</w:t>
      </w:r>
      <w:proofErr w:type="spellEnd"/>
      <w:r>
        <w:rPr>
          <w:rFonts w:ascii="Verdana" w:eastAsia="Verdana" w:hAnsi="Verdana" w:cs="Verdana"/>
        </w:rPr>
        <w:t xml:space="preserve"> e Maria Aparecida Marcheto </w:t>
      </w:r>
      <w:proofErr w:type="spellStart"/>
      <w:r>
        <w:rPr>
          <w:rFonts w:ascii="Verdana" w:eastAsia="Verdana" w:hAnsi="Verdana" w:cs="Verdana"/>
        </w:rPr>
        <w:t>Segatelli</w:t>
      </w:r>
      <w:proofErr w:type="spellEnd"/>
      <w:r>
        <w:rPr>
          <w:rFonts w:ascii="Verdana" w:eastAsia="Verdana" w:hAnsi="Verdana" w:cs="Verdana"/>
        </w:rPr>
        <w:t xml:space="preserve">, bem com, dos terceiros interessados, Claudimar </w:t>
      </w:r>
      <w:proofErr w:type="spellStart"/>
      <w:r>
        <w:rPr>
          <w:rFonts w:ascii="Verdana" w:eastAsia="Verdana" w:hAnsi="Verdana" w:cs="Verdana"/>
        </w:rPr>
        <w:t>Izildo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Segatelli</w:t>
      </w:r>
      <w:proofErr w:type="spellEnd"/>
      <w:r>
        <w:rPr>
          <w:rFonts w:ascii="Verdana" w:eastAsia="Verdana" w:hAnsi="Verdana" w:cs="Verdana"/>
        </w:rPr>
        <w:t xml:space="preserve"> e Flavia Regina Gonçalves, expedido nos autos da ação de Alienação Judicial, que lhe requer Flavia Regina Gonçalves. Processo nº 0001529- 85.2021.8.26.0368 </w:t>
      </w:r>
    </w:p>
    <w:p w14:paraId="5D16EA67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Dra. Isabella Rezende da Rocha, Juíza de Direito da 3ª Vara Cível do Foro de Monte Alto, do Estado de São Paulo, na forma da lei, etc...</w:t>
      </w:r>
    </w:p>
    <w:p w14:paraId="532B5E10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FAZ SABER que os leiloeiros oficiais, Sr. Irani Flores, JUCESP 792, e ou, a Sra. Dagmar C. S. Flores, JUCESP 901, levarão a leilão público para venda e arrematação, no local e hora descritos no site, com transmissão pela internet e disponibilização imediata no portal de leilões eletrônico, </w:t>
      </w:r>
      <w:hyperlink r:id="rId4">
        <w:r w:rsidR="004122A2">
          <w:rPr>
            <w:rFonts w:ascii="Verdana" w:eastAsia="Verdana" w:hAnsi="Verdana" w:cs="Verdana"/>
            <w:color w:val="0000FF"/>
            <w:u w:val="single"/>
          </w:rPr>
          <w:t>www.leilaobrasil.com.br</w:t>
        </w:r>
      </w:hyperlink>
      <w:r>
        <w:rPr>
          <w:rFonts w:ascii="Verdana" w:eastAsia="Verdana" w:hAnsi="Verdana" w:cs="Verdana"/>
        </w:rPr>
        <w:t xml:space="preserve">, para lances diretamente no sistema gestor através da internet: </w:t>
      </w:r>
    </w:p>
    <w:p w14:paraId="41C47430" w14:textId="261E07B0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Do início e encerramento do leilão: Início do 1º leilão em </w:t>
      </w:r>
      <w:r w:rsidR="00BD5001">
        <w:rPr>
          <w:rFonts w:ascii="Verdana" w:eastAsia="Verdana" w:hAnsi="Verdana" w:cs="Verdana"/>
        </w:rPr>
        <w:t>22/06</w:t>
      </w:r>
      <w:r>
        <w:rPr>
          <w:rFonts w:ascii="Verdana" w:eastAsia="Verdana" w:hAnsi="Verdana" w:cs="Verdana"/>
        </w:rPr>
        <w:t>/2026 às 10:</w:t>
      </w:r>
      <w:r w:rsidR="00BD5001">
        <w:rPr>
          <w:rFonts w:ascii="Verdana" w:eastAsia="Verdana" w:hAnsi="Verdana" w:cs="Verdana"/>
        </w:rPr>
        <w:t>31</w:t>
      </w:r>
      <w:r>
        <w:rPr>
          <w:rFonts w:ascii="Verdana" w:eastAsia="Verdana" w:hAnsi="Verdana" w:cs="Verdana"/>
        </w:rPr>
        <w:t xml:space="preserve"> horas e encerramento do 1º leilão em </w:t>
      </w:r>
      <w:r w:rsidR="00BD5001">
        <w:rPr>
          <w:rFonts w:ascii="Verdana" w:eastAsia="Verdana" w:hAnsi="Verdana" w:cs="Verdana"/>
        </w:rPr>
        <w:t>25/06</w:t>
      </w:r>
      <w:r>
        <w:rPr>
          <w:rFonts w:ascii="Verdana" w:eastAsia="Verdana" w:hAnsi="Verdana" w:cs="Verdana"/>
        </w:rPr>
        <w:t>/2026 às 10</w:t>
      </w:r>
      <w:r w:rsidR="00BD5001">
        <w:rPr>
          <w:rFonts w:ascii="Verdana" w:eastAsia="Verdana" w:hAnsi="Verdana" w:cs="Verdana"/>
        </w:rPr>
        <w:t>:31</w:t>
      </w:r>
      <w:r>
        <w:rPr>
          <w:rFonts w:ascii="Verdana" w:eastAsia="Verdana" w:hAnsi="Verdana" w:cs="Verdana"/>
        </w:rPr>
        <w:t xml:space="preserve"> horas, em não havendo lance igual ou superior ao valor da avaliação para a data supra, seguir-se-á sem interrupção o 2º leilão que se encerrará em </w:t>
      </w:r>
      <w:r w:rsidR="00BD5001">
        <w:rPr>
          <w:rFonts w:ascii="Verdana" w:eastAsia="Verdana" w:hAnsi="Verdana" w:cs="Verdana"/>
        </w:rPr>
        <w:t>24/07</w:t>
      </w:r>
      <w:r>
        <w:rPr>
          <w:rFonts w:ascii="Verdana" w:eastAsia="Verdana" w:hAnsi="Verdana" w:cs="Verdana"/>
        </w:rPr>
        <w:t>/2026 às 10:</w:t>
      </w:r>
      <w:r w:rsidR="00BD5001">
        <w:rPr>
          <w:rFonts w:ascii="Verdana" w:eastAsia="Verdana" w:hAnsi="Verdana" w:cs="Verdana"/>
        </w:rPr>
        <w:t>31</w:t>
      </w:r>
      <w:r>
        <w:rPr>
          <w:rFonts w:ascii="Verdana" w:eastAsia="Verdana" w:hAnsi="Verdana" w:cs="Verdana"/>
        </w:rPr>
        <w:t xml:space="preserve"> horas, não sendo aceito lances inferiores a 50% do valor da avaliação que deverá ser ofertado diretamente no sistema gestor  através da internet. </w:t>
      </w:r>
    </w:p>
    <w:p w14:paraId="28AA3041" w14:textId="447472CD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 w:rsidR="008B4393">
        <w:rPr>
          <w:rFonts w:ascii="Verdana" w:eastAsia="Verdana" w:hAnsi="Verdana" w:cs="Verdana"/>
        </w:rPr>
        <w:t>em</w:t>
      </w:r>
      <w:r>
        <w:rPr>
          <w:rFonts w:ascii="Verdana" w:eastAsia="Verdana" w:hAnsi="Verdana" w:cs="Verdana"/>
        </w:rPr>
        <w:t xml:space="preserve">: </w:t>
      </w:r>
      <w:r w:rsidR="008B4393">
        <w:rPr>
          <w:rFonts w:ascii="Verdana" w:eastAsia="Verdana" w:hAnsi="Verdana" w:cs="Verdana"/>
        </w:rPr>
        <w:t xml:space="preserve">Casa na rua Otoni </w:t>
      </w:r>
      <w:proofErr w:type="spellStart"/>
      <w:r w:rsidR="008B4393">
        <w:rPr>
          <w:rFonts w:ascii="Verdana" w:eastAsia="Verdana" w:hAnsi="Verdana" w:cs="Verdana"/>
        </w:rPr>
        <w:t>Bertoz</w:t>
      </w:r>
      <w:proofErr w:type="spellEnd"/>
      <w:r w:rsidR="008B4393">
        <w:rPr>
          <w:rFonts w:ascii="Verdana" w:eastAsia="Verdana" w:hAnsi="Verdana" w:cs="Verdana"/>
        </w:rPr>
        <w:t xml:space="preserve"> nº 200, </w:t>
      </w:r>
      <w:r>
        <w:rPr>
          <w:rFonts w:ascii="Verdana" w:eastAsia="Verdana" w:hAnsi="Verdana" w:cs="Verdana"/>
        </w:rPr>
        <w:t xml:space="preserve">nesta cidade comarca </w:t>
      </w:r>
      <w:r w:rsidR="008B4393"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</w:rPr>
        <w:t>Monte Alto, no Conjunto Habitacional “Jardim Bandeirantes”, com frente a Rua Otoni Bertoz nº 200, e seu respectivo terreno consistente do lote 20 da quadra N, medindo 200,00 metros quadrados, ou sejam 10,00 metros de frente, por 20,00 metros da frente aos fundos, confrontando-se pela frente com a referida rua; pela esquerda de quem da frente olha, com o imóvel nº 190 da Rua Otoni Bertoz; pela direita com o imóvel nº 210 da mesma rua; e pelos fundo</w:t>
      </w:r>
      <w:r>
        <w:rPr>
          <w:rFonts w:ascii="Verdana" w:eastAsia="Verdana" w:hAnsi="Verdana" w:cs="Verdana"/>
        </w:rPr>
        <w:t xml:space="preserve">s com o imóvel nº 330 da Rua Florêncio Janeluzzi. Dista </w:t>
      </w:r>
      <w:r>
        <w:rPr>
          <w:rFonts w:ascii="Verdana" w:eastAsia="Verdana" w:hAnsi="Verdana" w:cs="Verdana"/>
        </w:rPr>
        <w:lastRenderedPageBreak/>
        <w:t xml:space="preserve">53,00 metros da esquina da Avenida Raposo Tavares. Matrícula n°: 10.235 do CRI de Monte Alto. Contribuinte 6030. Ônus: Consta na Av.12 usufruto em favor de João Antonio Segatelli e Maria Aparecida Marcheto Segatelli. </w:t>
      </w:r>
      <w:r w:rsidRPr="008B4393">
        <w:rPr>
          <w:rFonts w:ascii="Verdana" w:eastAsia="Verdana" w:hAnsi="Verdana" w:cs="Verdana"/>
          <w:u w:val="single"/>
        </w:rPr>
        <w:t>Consta na Av.14 que a nua propriedade pertence a Claudimar Izildo Segatelli e Flavia Regina Gonçalves</w:t>
      </w:r>
      <w:r>
        <w:rPr>
          <w:rFonts w:ascii="Verdana" w:eastAsia="Verdana" w:hAnsi="Verdana" w:cs="Verdana"/>
        </w:rPr>
        <w:t xml:space="preserve">. Avaliação: R$ 140.000,00 (Nov/2021). </w:t>
      </w:r>
    </w:p>
    <w:p w14:paraId="2409E6C9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2AE77733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0CD4B2A0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Da Comissão: A comissão do leiloeiro será de 5% sobre o valor da arrematação, não estando incluída no valor da arrematação e deverá ser paga diretamente ao Leiloeiro. </w:t>
      </w:r>
    </w:p>
    <w:p w14:paraId="56D56875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Da Adjudicação: Condicionada aos termos do Art. 876 e 892, § 1º do CPC. </w:t>
      </w:r>
    </w:p>
    <w:p w14:paraId="54154385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Do pagamento: O arrematante terá o prazo de 24 horas para efetuar o pagamento da arrematação e da comissão. Do pagamento parcelado: O parcelamento da arrematação dar-se-á nos termos da Lei; não sendo aceitos valor inferior a 25% do valor do lance ofertado para pagamento e vista e prazo superior a 30 parcelas mensais e consecutivas, Artigo 895, §2°, §7° e §8°, todos do CPC, Artigo 14 e 22 da Resolução 236/2016 do CNJ e artigo 264 da NSCGJ 16/2025 compreendendo a ampla divulgação e  transparência necessárias </w:t>
      </w:r>
      <w:r>
        <w:rPr>
          <w:rFonts w:ascii="Verdana" w:eastAsia="Verdana" w:hAnsi="Verdana" w:cs="Verdana"/>
        </w:rPr>
        <w:t xml:space="preserve">ao judiciário; podendo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</w:t>
      </w:r>
      <w:r>
        <w:rPr>
          <w:rFonts w:ascii="Verdana" w:eastAsia="Verdana" w:hAnsi="Verdana" w:cs="Verdana"/>
        </w:rPr>
        <w:lastRenderedPageBreak/>
        <w:t>vencimento, das garantias, da atualização mensal das parcelas vincendas e da decisão exarada pelo MM. Juiz nos autos.</w:t>
      </w:r>
      <w:r>
        <w:rPr>
          <w:rFonts w:ascii="Verdana" w:eastAsia="Verdana" w:hAnsi="Verdana" w:cs="Verdana"/>
        </w:rPr>
        <w:t xml:space="preserve"> </w:t>
      </w:r>
    </w:p>
    <w:p w14:paraId="4ECC1830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 na posse do executado. </w:t>
      </w:r>
    </w:p>
    <w:p w14:paraId="06C8BF3C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 </w:t>
      </w:r>
    </w:p>
    <w:p w14:paraId="5E5D1372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Recursos: Dos autos não consta recursos ou causa pendente de julgamento. </w:t>
      </w:r>
    </w:p>
    <w:p w14:paraId="33BFF486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Da Carta de arrematação: A carta de arrematação será expedida pelo MM. Juiz nos termos dos art. 901 e 903 do CPC. </w:t>
      </w:r>
    </w:p>
    <w:p w14:paraId="66149909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Dúvidas e Esclarecimentos: pessoalmente perante o 3° Ofício Cível, ou no escritório do leiloeiro oficial, Sr. </w:t>
      </w:r>
    </w:p>
    <w:p w14:paraId="3F3FDEBD" w14:textId="77777777" w:rsidR="004122A2" w:rsidRDefault="00104875">
      <w:pPr>
        <w:spacing w:line="36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Irani Flores, Av. Gaspar Vaz da Cunha n° 258, SP/Capital, ou ainda, pelo telefone (55 11) 3965-0000 / Whats App (55 11) 95662-5151, e e-mail: atendimento@leilaobrasil.com.br, ficam os executados, bem como eventuais interessados, INTIMADOS das designações supra, caso não sejam localizados para as intimações pessoais. Será o edital “por extrato”, afixado e publicado na forma da lei, Provimento CGJ n° 32/2018, art. 428.1.2 e art. 887, §2° do CPC. NADA MAIS. Dado e passado nesta cidade de Monte Alto, aos 12 de </w:t>
      </w:r>
      <w:r>
        <w:rPr>
          <w:rFonts w:ascii="Verdana" w:eastAsia="Verdana" w:hAnsi="Verdana" w:cs="Verdana"/>
        </w:rPr>
        <w:t>janeiro de 2026.</w:t>
      </w:r>
    </w:p>
    <w:sectPr w:rsidR="00412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A2"/>
    <w:rsid w:val="004122A2"/>
    <w:rsid w:val="00522F89"/>
    <w:rsid w:val="008B4393"/>
    <w:rsid w:val="00AB4E36"/>
    <w:rsid w:val="00B80502"/>
    <w:rsid w:val="00BD5001"/>
    <w:rsid w:val="00C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02FE"/>
  <w15:docId w15:val="{1FB00050-43B2-45DA-B57B-1E57D205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4812</Characters>
  <Application>Microsoft Office Word</Application>
  <DocSecurity>4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Leilão Brasil</cp:lastModifiedBy>
  <cp:revision>2</cp:revision>
  <dcterms:created xsi:type="dcterms:W3CDTF">2026-04-14T16:58:00Z</dcterms:created>
  <dcterms:modified xsi:type="dcterms:W3CDTF">2026-04-14T16:58:00Z</dcterms:modified>
</cp:coreProperties>
</file>