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A2928" w14:textId="0E99A5DF" w:rsidR="007C10DC" w:rsidRPr="00092591" w:rsidRDefault="007C10DC" w:rsidP="00092591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092591">
        <w:rPr>
          <w:rFonts w:ascii="Verdana" w:hAnsi="Verdana"/>
          <w:sz w:val="24"/>
          <w:szCs w:val="24"/>
        </w:rPr>
        <w:t xml:space="preserve">Edital de 1º e 2º leilão de </w:t>
      </w:r>
      <w:r w:rsidR="00587C88">
        <w:rPr>
          <w:rFonts w:ascii="Verdana" w:hAnsi="Verdana"/>
          <w:sz w:val="24"/>
          <w:szCs w:val="24"/>
        </w:rPr>
        <w:t xml:space="preserve">(50% </w:t>
      </w:r>
      <w:r w:rsidRPr="00092591">
        <w:rPr>
          <w:rFonts w:ascii="Verdana" w:hAnsi="Verdana"/>
          <w:sz w:val="24"/>
          <w:szCs w:val="24"/>
        </w:rPr>
        <w:t>bem imóvel</w:t>
      </w:r>
      <w:r w:rsidR="00587C88">
        <w:rPr>
          <w:rFonts w:ascii="Verdana" w:hAnsi="Verdana"/>
          <w:sz w:val="24"/>
          <w:szCs w:val="24"/>
        </w:rPr>
        <w:t>),</w:t>
      </w:r>
      <w:r w:rsidRPr="00092591">
        <w:rPr>
          <w:rFonts w:ascii="Verdana" w:hAnsi="Verdana"/>
          <w:sz w:val="24"/>
          <w:szCs w:val="24"/>
        </w:rPr>
        <w:t xml:space="preserve"> e para intimação de Garcia &amp; Cabral Ltda e outros, expedidos nos autos da ação de Execução de Títulos Extrajudicial – Contratos movidos por Banco do Brasil S.A, Processo Nº 0000799-41.2006.8.26.0452 </w:t>
      </w:r>
    </w:p>
    <w:p w14:paraId="1D79E190" w14:textId="77777777" w:rsidR="007C10DC" w:rsidRPr="00092591" w:rsidRDefault="007C10DC" w:rsidP="00092591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092591">
        <w:rPr>
          <w:rFonts w:ascii="Verdana" w:hAnsi="Verdana"/>
          <w:sz w:val="24"/>
          <w:szCs w:val="24"/>
        </w:rPr>
        <w:t xml:space="preserve">O Dr. Tadeu Trancoso De Souza, juiz de Direito da 2ª Vara, do Foro de Piraju, Estado de São Paulo, na Forma da Lei, etc. </w:t>
      </w:r>
    </w:p>
    <w:p w14:paraId="67CF18B8" w14:textId="77777777" w:rsidR="0025617D" w:rsidRDefault="007C10DC" w:rsidP="00092591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092591">
        <w:rPr>
          <w:rFonts w:ascii="Verdana" w:hAnsi="Verdana"/>
          <w:sz w:val="24"/>
          <w:szCs w:val="24"/>
        </w:rPr>
        <w:t xml:space="preserve">FAZ SABER que o leiloeiro oficial, Sr. Irani Flores, JUCESP 792, levará a leilão público para venda e arrematação, no local e hora descritos no site, com transmissão pela internet e disponibilização imediata no portal de leilões eletrônico, </w:t>
      </w:r>
      <w:r w:rsidRPr="004822E9">
        <w:rPr>
          <w:rFonts w:ascii="Verdana" w:hAnsi="Verdana"/>
          <w:color w:val="0000FF"/>
          <w:sz w:val="24"/>
          <w:szCs w:val="24"/>
        </w:rPr>
        <w:t>www.leilaobrasil.com.br</w:t>
      </w:r>
      <w:r w:rsidRPr="00092591">
        <w:rPr>
          <w:rFonts w:ascii="Verdana" w:hAnsi="Verdana"/>
          <w:sz w:val="24"/>
          <w:szCs w:val="24"/>
        </w:rPr>
        <w:t xml:space="preserve"> para lances pela internet:</w:t>
      </w:r>
    </w:p>
    <w:p w14:paraId="0EF428A8" w14:textId="097D3888" w:rsidR="0025617D" w:rsidRPr="00092591" w:rsidRDefault="003F086F" w:rsidP="00092591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3F086F">
        <w:rPr>
          <w:rFonts w:ascii="Verdana" w:hAnsi="Verdana"/>
          <w:sz w:val="24"/>
          <w:szCs w:val="24"/>
        </w:rPr>
        <w:t>Do início e encerramento do Leilão: </w:t>
      </w:r>
      <w:bookmarkStart w:id="0" w:name="_Hlk208913367"/>
      <w:r w:rsidRPr="003F086F">
        <w:rPr>
          <w:rFonts w:ascii="Verdana" w:hAnsi="Verdana"/>
          <w:sz w:val="24"/>
          <w:szCs w:val="24"/>
        </w:rPr>
        <w:t xml:space="preserve">Início do 1° leilão em  </w:t>
      </w:r>
      <w:r w:rsidR="00EC1BD4">
        <w:rPr>
          <w:rFonts w:ascii="Verdana" w:hAnsi="Verdana"/>
          <w:sz w:val="24"/>
          <w:szCs w:val="24"/>
        </w:rPr>
        <w:t>19/11</w:t>
      </w:r>
      <w:r w:rsidRPr="003F086F">
        <w:rPr>
          <w:rFonts w:ascii="Verdana" w:hAnsi="Verdana"/>
          <w:sz w:val="24"/>
          <w:szCs w:val="24"/>
        </w:rPr>
        <w:t>/2026 às 10:</w:t>
      </w:r>
      <w:r w:rsidR="00EC1BD4">
        <w:rPr>
          <w:rFonts w:ascii="Verdana" w:hAnsi="Verdana"/>
          <w:sz w:val="24"/>
          <w:szCs w:val="24"/>
        </w:rPr>
        <w:t>30</w:t>
      </w:r>
      <w:r w:rsidR="00521CB8">
        <w:rPr>
          <w:rFonts w:ascii="Verdana" w:hAnsi="Verdana"/>
          <w:sz w:val="24"/>
          <w:szCs w:val="24"/>
        </w:rPr>
        <w:t xml:space="preserve"> </w:t>
      </w:r>
      <w:r w:rsidRPr="003F086F">
        <w:rPr>
          <w:rFonts w:ascii="Verdana" w:hAnsi="Verdana"/>
          <w:sz w:val="24"/>
          <w:szCs w:val="24"/>
        </w:rPr>
        <w:t xml:space="preserve">horas e encerramento do 1° leilão em </w:t>
      </w:r>
      <w:r w:rsidR="00EC1BD4">
        <w:rPr>
          <w:rFonts w:ascii="Verdana" w:hAnsi="Verdana"/>
          <w:sz w:val="24"/>
          <w:szCs w:val="24"/>
        </w:rPr>
        <w:t>23/11</w:t>
      </w:r>
      <w:r w:rsidRPr="003F086F">
        <w:rPr>
          <w:rFonts w:ascii="Verdana" w:hAnsi="Verdana"/>
          <w:sz w:val="24"/>
          <w:szCs w:val="24"/>
        </w:rPr>
        <w:t>/2026 às 10:</w:t>
      </w:r>
      <w:r w:rsidR="00EC1BD4">
        <w:rPr>
          <w:rFonts w:ascii="Verdana" w:hAnsi="Verdana"/>
          <w:sz w:val="24"/>
          <w:szCs w:val="24"/>
        </w:rPr>
        <w:t>30</w:t>
      </w:r>
      <w:r w:rsidRPr="003F086F">
        <w:rPr>
          <w:rFonts w:ascii="Verdana" w:hAnsi="Verdana"/>
          <w:sz w:val="24"/>
          <w:szCs w:val="24"/>
        </w:rPr>
        <w:t xml:space="preserve">  horas, em não havendo lance igual ou superior ao valor da avaliação atualizada para a data supra, seguir-se-á sem interrupção o 2° leilão que se encerrará em </w:t>
      </w:r>
      <w:r w:rsidR="00EC1BD4">
        <w:rPr>
          <w:rFonts w:ascii="Verdana" w:hAnsi="Verdana"/>
          <w:sz w:val="24"/>
          <w:szCs w:val="24"/>
        </w:rPr>
        <w:t>14/12</w:t>
      </w:r>
      <w:r w:rsidRPr="003F086F">
        <w:rPr>
          <w:rFonts w:ascii="Verdana" w:hAnsi="Verdana"/>
          <w:sz w:val="24"/>
          <w:szCs w:val="24"/>
        </w:rPr>
        <w:t>/2026 às 10:</w:t>
      </w:r>
      <w:r w:rsidR="00EC1BD4">
        <w:rPr>
          <w:rFonts w:ascii="Verdana" w:hAnsi="Verdana"/>
          <w:sz w:val="24"/>
          <w:szCs w:val="24"/>
        </w:rPr>
        <w:t>30</w:t>
      </w:r>
      <w:r w:rsidRPr="003F086F">
        <w:rPr>
          <w:rFonts w:ascii="Verdana" w:hAnsi="Verdana"/>
          <w:sz w:val="24"/>
          <w:szCs w:val="24"/>
        </w:rPr>
        <w:t xml:space="preserve">  horas</w:t>
      </w:r>
      <w:bookmarkEnd w:id="0"/>
      <w:r w:rsidR="00521CB8">
        <w:rPr>
          <w:rFonts w:ascii="Verdana" w:hAnsi="Verdana"/>
          <w:sz w:val="24"/>
          <w:szCs w:val="24"/>
        </w:rPr>
        <w:t xml:space="preserve"> </w:t>
      </w:r>
      <w:r w:rsidR="007C10DC" w:rsidRPr="00092591">
        <w:rPr>
          <w:rFonts w:ascii="Verdana" w:hAnsi="Verdana"/>
          <w:sz w:val="24"/>
          <w:szCs w:val="24"/>
        </w:rPr>
        <w:t xml:space="preserve">não sendo aceito lances inferiores a 50% e deverá ser ofertado diretamente </w:t>
      </w:r>
      <w:r w:rsidR="004822E9">
        <w:rPr>
          <w:rFonts w:ascii="Verdana" w:hAnsi="Verdana"/>
          <w:sz w:val="24"/>
          <w:szCs w:val="24"/>
        </w:rPr>
        <w:t>na plataforma através da internet.</w:t>
      </w:r>
    </w:p>
    <w:p w14:paraId="47C87864" w14:textId="77777777" w:rsidR="0025617D" w:rsidRPr="00092591" w:rsidRDefault="007C10DC" w:rsidP="00092591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092591">
        <w:rPr>
          <w:rFonts w:ascii="Verdana" w:hAnsi="Verdana"/>
          <w:sz w:val="24"/>
          <w:szCs w:val="24"/>
        </w:rPr>
        <w:t xml:space="preserve">Bem: </w:t>
      </w:r>
      <w:r w:rsidR="00521CB8">
        <w:rPr>
          <w:rFonts w:ascii="Verdana" w:hAnsi="Verdana"/>
          <w:sz w:val="24"/>
          <w:szCs w:val="24"/>
        </w:rPr>
        <w:t xml:space="preserve">Terreno </w:t>
      </w:r>
      <w:r w:rsidRPr="00092591">
        <w:rPr>
          <w:rFonts w:ascii="Verdana" w:hAnsi="Verdana"/>
          <w:sz w:val="24"/>
          <w:szCs w:val="24"/>
        </w:rPr>
        <w:t xml:space="preserve">na Rua 15 de novembro, </w:t>
      </w:r>
      <w:r w:rsidR="00587C88">
        <w:rPr>
          <w:rFonts w:ascii="Verdana" w:hAnsi="Verdana"/>
          <w:sz w:val="24"/>
          <w:szCs w:val="24"/>
        </w:rPr>
        <w:t>(leilão de 50%</w:t>
      </w:r>
      <w:r w:rsidR="0047124C">
        <w:rPr>
          <w:rFonts w:ascii="Verdana" w:hAnsi="Verdana"/>
          <w:sz w:val="24"/>
          <w:szCs w:val="24"/>
        </w:rPr>
        <w:t xml:space="preserve"> do bem</w:t>
      </w:r>
      <w:r w:rsidR="00587C88">
        <w:rPr>
          <w:rFonts w:ascii="Verdana" w:hAnsi="Verdana"/>
          <w:sz w:val="24"/>
          <w:szCs w:val="24"/>
        </w:rPr>
        <w:t xml:space="preserve">), do </w:t>
      </w:r>
      <w:r w:rsidRPr="00092591">
        <w:rPr>
          <w:rFonts w:ascii="Verdana" w:hAnsi="Verdana"/>
          <w:sz w:val="24"/>
          <w:szCs w:val="24"/>
        </w:rPr>
        <w:t xml:space="preserve">lote nº 02, Terreno na Rua 15 de Novembro, sem construção, situado na cidade de Sarutaia, com frente para a Rua 15 de novembro, onde mede 17,20 metros, à direita confronta com Tiago Candido dos Nascimento, mede 19,00 metros, à esquerda confronta com a rua 12 de outubro e mede 19,00 metros, e nos fundos confronta com a área de nº 01, onde mede 17,20 metros, perfazendo o total de 326,80m². Matrícula n° 9.874 CRI de Piraju. Contribuinte 0.10.32.44. Ônus: Consta na R.4 penhora do processo 201/2006 da 1ª Vara Cível de Piraju. Consta na Av.5 penhora do processo 796-86.2006 da 1ª Vara Cível de Piraju. Consta na A.6 penhora do processo </w:t>
      </w:r>
      <w:r w:rsidRPr="00092591">
        <w:rPr>
          <w:rFonts w:ascii="Verdana" w:hAnsi="Verdana"/>
          <w:sz w:val="24"/>
          <w:szCs w:val="24"/>
        </w:rPr>
        <w:lastRenderedPageBreak/>
        <w:t>00007994120068260452 da 2ª Vara Cível de Piraju. Avaliação R$ 180.000,00 (dez/2</w:t>
      </w:r>
      <w:r w:rsidR="00DE1C6E">
        <w:rPr>
          <w:rFonts w:ascii="Verdana" w:hAnsi="Verdana"/>
          <w:sz w:val="24"/>
          <w:szCs w:val="24"/>
        </w:rPr>
        <w:t>024</w:t>
      </w:r>
      <w:r w:rsidRPr="00092591">
        <w:rPr>
          <w:rFonts w:ascii="Verdana" w:hAnsi="Verdana"/>
          <w:sz w:val="24"/>
          <w:szCs w:val="24"/>
        </w:rPr>
        <w:t>).</w:t>
      </w:r>
    </w:p>
    <w:p w14:paraId="70BF797B" w14:textId="77777777" w:rsidR="0025617D" w:rsidRPr="00092591" w:rsidRDefault="007C10DC" w:rsidP="00092591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092591">
        <w:rPr>
          <w:rFonts w:ascii="Verdana" w:hAnsi="Verdana"/>
          <w:sz w:val="24"/>
          <w:szCs w:val="24"/>
        </w:rPr>
        <w:t>Avaliação da parte R$ 90.000,00 (dez/2024).</w:t>
      </w:r>
    </w:p>
    <w:p w14:paraId="7CA445C3" w14:textId="77777777" w:rsidR="0025617D" w:rsidRPr="00092591" w:rsidRDefault="007C10DC" w:rsidP="00092591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092591">
        <w:rPr>
          <w:rFonts w:ascii="Verdana" w:hAnsi="Verdana"/>
          <w:sz w:val="24"/>
          <w:szCs w:val="24"/>
        </w:rPr>
        <w:t>Quem pode ofertar lances: É permitido a todos interessados fazer lances diretamente no sistema gestor, desde que, cadastrado e habilitado com o mínimo 24 horas que antecedem o encerramento do leilão; exceto os que se enquadrem no Art. 890 do CPC ainda que cadastrados e habilitados no sistema.</w:t>
      </w:r>
    </w:p>
    <w:p w14:paraId="45154133" w14:textId="77777777" w:rsidR="0025617D" w:rsidRPr="00092591" w:rsidRDefault="007C10DC" w:rsidP="00092591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092591">
        <w:rPr>
          <w:rFonts w:ascii="Verdana" w:hAnsi="Verdana"/>
          <w:sz w:val="24"/>
          <w:szCs w:val="24"/>
        </w:rPr>
        <w:t>Da Prorrogação do Leilão: Sobrevindo lance a menos de três minutos para o enceramento, o sistema prorrogará automaticamente por mais três minutos sucessivamente para que todos tenham as mesmas chances.</w:t>
      </w:r>
    </w:p>
    <w:p w14:paraId="5B732901" w14:textId="77777777" w:rsidR="0025617D" w:rsidRPr="00092591" w:rsidRDefault="007C10DC" w:rsidP="00092591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092591">
        <w:rPr>
          <w:rFonts w:ascii="Verdana" w:hAnsi="Verdana"/>
          <w:sz w:val="24"/>
          <w:szCs w:val="24"/>
        </w:rPr>
        <w:t xml:space="preserve">Da Comissão: A comissão do leiloeiro será de 5% sobre o valor da arrematação, não estando incluída no valor da arrematação e deverá ser paga diretamente ao Leiloeiro. Da Adjudicação: Condicionada aos termos do Art. 876 e 892, § 1º do código de processo civil. </w:t>
      </w:r>
    </w:p>
    <w:p w14:paraId="6BF8DF48" w14:textId="77777777" w:rsidR="0025617D" w:rsidRPr="00092591" w:rsidRDefault="007C10DC" w:rsidP="00092591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092591">
        <w:rPr>
          <w:rFonts w:ascii="Verdana" w:hAnsi="Verdana"/>
          <w:sz w:val="24"/>
          <w:szCs w:val="24"/>
        </w:rPr>
        <w:t>Do pagamento: O arrematante terá o prazo de 24 horas para efetuar o pagamento da arrematação e da comissão.</w:t>
      </w:r>
    </w:p>
    <w:p w14:paraId="459AB7C7" w14:textId="77777777" w:rsidR="0025617D" w:rsidRPr="00092591" w:rsidRDefault="007C10DC" w:rsidP="00092591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092591">
        <w:rPr>
          <w:rFonts w:ascii="Verdana" w:hAnsi="Verdana"/>
          <w:sz w:val="24"/>
          <w:szCs w:val="24"/>
        </w:rPr>
        <w:t xml:space="preserve">Do pagamento parcelado: O parcelamento da arrematação dar-se-á nos termos da Lei; não sendo aceitos  valor inferior a 25% do valor do lance ofertado para pagamento e vista e prazo superior a 30 parcelas mensais e consecutivas, Artigo 895, §2°, §7° e §8°, todos do CPC,  Artigo 14 e 22 da Resolução 236/2016 do CNJ e artigo 264 da NSCGJ 16/2025 compreendendo a ampla divulgação e transparência necessárias ao judiciário; podendo  o interessado ofertar “Real Time dentro do Auditório Virtual”, valor e quantidade de parcelas diferente para cada lance ofertado. As guias para pagamento das parcelas mensais deverão ser geradas pelo próprio arrematante diretamente no site do Tribunal. O interessado deverá atentar para o disposto nos demais parágrafos do artigo 895 quanto ao valor da parcela mensal, </w:t>
      </w:r>
      <w:r w:rsidRPr="00092591">
        <w:rPr>
          <w:rFonts w:ascii="Verdana" w:hAnsi="Verdana"/>
          <w:sz w:val="24"/>
          <w:szCs w:val="24"/>
        </w:rPr>
        <w:lastRenderedPageBreak/>
        <w:t>do vencimento, das garantias, da atualização mensal das parcelas vincendas e da decisão exarada pelo MM. Juiz nos autos.</w:t>
      </w:r>
    </w:p>
    <w:p w14:paraId="5B89396A" w14:textId="77777777" w:rsidR="0025617D" w:rsidRPr="00092591" w:rsidRDefault="007C10DC" w:rsidP="00092591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092591">
        <w:rPr>
          <w:rFonts w:ascii="Verdana" w:hAnsi="Verdana"/>
          <w:sz w:val="24"/>
          <w:szCs w:val="24"/>
        </w:rPr>
        <w:t>Das Garantias: Os bens serão vendidos em caráter “ad corpus”, e no estado em que se encontram, cabendo exclusivamente ao interessado fazer a verificação inclusive processual antes de ofertar lances; ressaltando que as visitações nem sempre é possível uma vez que na maioria das vezes os bens se encontram na posse do executado.</w:t>
      </w:r>
    </w:p>
    <w:p w14:paraId="3A6C7578" w14:textId="77777777" w:rsidR="0025617D" w:rsidRPr="00092591" w:rsidRDefault="007C10DC" w:rsidP="00092591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092591">
        <w:rPr>
          <w:rFonts w:ascii="Verdana" w:hAnsi="Verdana"/>
          <w:sz w:val="24"/>
          <w:szCs w:val="24"/>
        </w:rPr>
        <w:t>Responsabilidade outras: Correrão por conta exclusiva do arrematante as despesas gerais relativas à desmontagem, transporte e transferência patrimonial dos bens arrematados, exceto os que se enquadrem no art. 130, § único do CTN e art. 908, § 1° do código de processo civil. Caberá também ao arrematante juntar comprovantes, solicitar as baixas de gravames e outras restrições que recaiam sobre o bem arrematado diretamente ao órgão competente.</w:t>
      </w:r>
    </w:p>
    <w:p w14:paraId="6DE34DE3" w14:textId="77777777" w:rsidR="0025617D" w:rsidRPr="00092591" w:rsidRDefault="007C10DC" w:rsidP="00092591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092591">
        <w:rPr>
          <w:rFonts w:ascii="Verdana" w:hAnsi="Verdana"/>
          <w:sz w:val="24"/>
          <w:szCs w:val="24"/>
        </w:rPr>
        <w:t>Dos autos não consta recursos ou causa pendente de Julgamento  Da Carta de arrematação:</w:t>
      </w:r>
    </w:p>
    <w:p w14:paraId="443000BD" w14:textId="77777777" w:rsidR="0025617D" w:rsidRPr="00092591" w:rsidRDefault="007C10DC" w:rsidP="00092591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092591">
        <w:rPr>
          <w:rFonts w:ascii="Verdana" w:hAnsi="Verdana"/>
          <w:sz w:val="24"/>
          <w:szCs w:val="24"/>
        </w:rPr>
        <w:t>A carta de arrematação será expedida pelo MM. Juiz nos termos dos artigos 901 e 903 do código de Processo Civil.</w:t>
      </w:r>
    </w:p>
    <w:p w14:paraId="0099357F" w14:textId="77777777" w:rsidR="0025617D" w:rsidRPr="00092591" w:rsidRDefault="007C10DC" w:rsidP="00092591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092591">
        <w:rPr>
          <w:rFonts w:ascii="Verdana" w:hAnsi="Verdana"/>
          <w:sz w:val="24"/>
          <w:szCs w:val="24"/>
        </w:rPr>
        <w:t xml:space="preserve">Dúvidas e Esclarecimentos: pessoalmente perante o 2º Ofício Cível, ou no escritório do leiloeiro oficial, Sr. Irani Flores, Avenida Paulista, 2421, São Paulo / SP, ou ainda, pelo telefone 55 11 3965-0000 / Whats App 55 11 95662-5151, e e-mail: </w:t>
      </w:r>
      <w:hyperlink r:id="rId4" w:history="1">
        <w:r w:rsidR="0025617D" w:rsidRPr="00092591">
          <w:rPr>
            <w:rStyle w:val="Hyperlink"/>
            <w:rFonts w:ascii="Verdana" w:hAnsi="Verdana"/>
            <w:sz w:val="24"/>
            <w:szCs w:val="24"/>
          </w:rPr>
          <w:t>atendimento@leilaobrasil.com.br</w:t>
        </w:r>
      </w:hyperlink>
      <w:r w:rsidRPr="00092591">
        <w:rPr>
          <w:rFonts w:ascii="Verdana" w:hAnsi="Verdana"/>
          <w:sz w:val="24"/>
          <w:szCs w:val="24"/>
        </w:rPr>
        <w:t>.</w:t>
      </w:r>
    </w:p>
    <w:p w14:paraId="10A5ECA8" w14:textId="77777777" w:rsidR="00984F9B" w:rsidRPr="00092591" w:rsidRDefault="007C10DC" w:rsidP="00092591">
      <w:pPr>
        <w:spacing w:line="360" w:lineRule="auto"/>
        <w:jc w:val="both"/>
        <w:rPr>
          <w:rFonts w:ascii="Verdana" w:hAnsi="Verdana"/>
          <w:sz w:val="24"/>
          <w:szCs w:val="24"/>
        </w:rPr>
      </w:pPr>
      <w:r w:rsidRPr="00092591">
        <w:rPr>
          <w:rFonts w:ascii="Verdana" w:hAnsi="Verdana"/>
          <w:sz w:val="24"/>
          <w:szCs w:val="24"/>
        </w:rPr>
        <w:t>Ficam os executados, bem como eventuais interessados, INTIMADOS das designações supra, caso não sejam localizados para as intimações pessoais, será o presente edital, “por extrato”, afixado e publicado na forma da lei, Provimento CGJ Nº 32/2018, artigo 428.1.2 e artigo 887, § 2º do código de processo civil, Piraju, 05/05/2023. Será o presente edital, por extrato, afixado e publicado na forma da lei. Provimento CGJ Nº 32/2018, artigo 428.1.2 e artigo 887, § 2º do código de processo civil, NADA MAIS. Dado e passado nesta cidade de Piraju, 13/0</w:t>
      </w:r>
      <w:r w:rsidR="00DE1C6E">
        <w:rPr>
          <w:rFonts w:ascii="Verdana" w:hAnsi="Verdana"/>
          <w:sz w:val="24"/>
          <w:szCs w:val="24"/>
        </w:rPr>
        <w:t>9</w:t>
      </w:r>
      <w:r w:rsidRPr="00092591">
        <w:rPr>
          <w:rFonts w:ascii="Verdana" w:hAnsi="Verdana"/>
          <w:sz w:val="24"/>
          <w:szCs w:val="24"/>
        </w:rPr>
        <w:t>/202</w:t>
      </w:r>
      <w:r w:rsidR="00587C88">
        <w:rPr>
          <w:rFonts w:ascii="Verdana" w:hAnsi="Verdana"/>
          <w:sz w:val="24"/>
          <w:szCs w:val="24"/>
        </w:rPr>
        <w:t>6</w:t>
      </w:r>
    </w:p>
    <w:sectPr w:rsidR="00984F9B" w:rsidRPr="00092591" w:rsidSect="00092591">
      <w:pgSz w:w="11906" w:h="16838"/>
      <w:pgMar w:top="1417" w:right="1700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0DC"/>
    <w:rsid w:val="00030720"/>
    <w:rsid w:val="00055197"/>
    <w:rsid w:val="000602E8"/>
    <w:rsid w:val="00092591"/>
    <w:rsid w:val="001822A5"/>
    <w:rsid w:val="002559F1"/>
    <w:rsid w:val="0025617D"/>
    <w:rsid w:val="003523BF"/>
    <w:rsid w:val="003F086F"/>
    <w:rsid w:val="0047124C"/>
    <w:rsid w:val="004822E9"/>
    <w:rsid w:val="00521CB8"/>
    <w:rsid w:val="005240AE"/>
    <w:rsid w:val="00587C88"/>
    <w:rsid w:val="006E4279"/>
    <w:rsid w:val="00785020"/>
    <w:rsid w:val="007C10DC"/>
    <w:rsid w:val="00804477"/>
    <w:rsid w:val="00816E3B"/>
    <w:rsid w:val="00896748"/>
    <w:rsid w:val="008C0801"/>
    <w:rsid w:val="008F19A3"/>
    <w:rsid w:val="009004EC"/>
    <w:rsid w:val="0098433D"/>
    <w:rsid w:val="00984F9B"/>
    <w:rsid w:val="00A81C59"/>
    <w:rsid w:val="00B71ECC"/>
    <w:rsid w:val="00B8573F"/>
    <w:rsid w:val="00BB14BE"/>
    <w:rsid w:val="00C12C85"/>
    <w:rsid w:val="00C7075F"/>
    <w:rsid w:val="00DE1C6E"/>
    <w:rsid w:val="00EC1BD4"/>
    <w:rsid w:val="00EF126C"/>
    <w:rsid w:val="00F32E1B"/>
    <w:rsid w:val="00FB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05DB8"/>
  <w15:chartTrackingRefBased/>
  <w15:docId w15:val="{B07B736E-65C8-4095-96C2-C93CB0D6C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5617D"/>
    <w:rPr>
      <w:color w:val="0563C1"/>
      <w:u w:val="single"/>
    </w:rPr>
  </w:style>
  <w:style w:type="character" w:styleId="MenoPendente">
    <w:name w:val="Unresolved Mention"/>
    <w:uiPriority w:val="99"/>
    <w:semiHidden/>
    <w:unhideWhenUsed/>
    <w:rsid w:val="002561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tendimento@leilaobrasil.com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869</Words>
  <Characters>4695</Characters>
  <Application>Microsoft Office Word</Application>
  <DocSecurity>4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5553</CharactersWithSpaces>
  <SharedDoc>false</SharedDoc>
  <HLinks>
    <vt:vector size="6" baseType="variant">
      <vt:variant>
        <vt:i4>8192015</vt:i4>
      </vt:variant>
      <vt:variant>
        <vt:i4>0</vt:i4>
      </vt:variant>
      <vt:variant>
        <vt:i4>0</vt:i4>
      </vt:variant>
      <vt:variant>
        <vt:i4>5</vt:i4>
      </vt:variant>
      <vt:variant>
        <vt:lpwstr>mailto:atendimento@leilaobrasil.com.br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Leilão Brasil</cp:lastModifiedBy>
  <cp:revision>2</cp:revision>
  <dcterms:created xsi:type="dcterms:W3CDTF">2026-09-23T17:36:00Z</dcterms:created>
  <dcterms:modified xsi:type="dcterms:W3CDTF">2026-09-23T17:36:00Z</dcterms:modified>
</cp:coreProperties>
</file>