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4BF3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Edital de 1° e 2° leilão da parte ideal de 50% sobre bem imóvel e para intimação de Maria Aparecida Paiva </w:t>
      </w:r>
      <w:proofErr w:type="spellStart"/>
      <w:r w:rsidRPr="00424694">
        <w:rPr>
          <w:rFonts w:ascii="Verdana" w:hAnsi="Verdana"/>
        </w:rPr>
        <w:t>Quarelli</w:t>
      </w:r>
      <w:proofErr w:type="spellEnd"/>
      <w:r w:rsidRPr="00424694">
        <w:rPr>
          <w:rFonts w:ascii="Verdana" w:hAnsi="Verdana"/>
        </w:rPr>
        <w:t xml:space="preserve"> e Sueli Aparecida da Silva, bem como seu esposo Roberto </w:t>
      </w:r>
      <w:proofErr w:type="spellStart"/>
      <w:r w:rsidRPr="00424694">
        <w:rPr>
          <w:rFonts w:ascii="Verdana" w:hAnsi="Verdana"/>
        </w:rPr>
        <w:t>Carossa</w:t>
      </w:r>
      <w:proofErr w:type="spellEnd"/>
      <w:r w:rsidRPr="00424694">
        <w:rPr>
          <w:rFonts w:ascii="Verdana" w:hAnsi="Verdana"/>
        </w:rPr>
        <w:t xml:space="preserve"> da Silva, expedido nos autos da ação em fase de Cumprimento de Sentença, que lhe requer Débora de Souza Alves Lopes. Processo n° 0001840-76.2021.8.26.0368</w:t>
      </w:r>
    </w:p>
    <w:p w14:paraId="3B6286A3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O Dr. Adriano Pugliesi Leite, Juiz de Direito da 3ª Vara Cível do Foro de Monte Alto, do Estado de São Paulo, na forma da lei, etc...</w:t>
      </w:r>
    </w:p>
    <w:p w14:paraId="4DD4017E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Faz Saber que o Leiloeiro Oficial, Sr. Irani Flores, JUCESP 792, levará a leilão público para venda e arrematação, no local e hora descritos no site, com transmissão pela internet e disponibilização imediata no portal de leilões eletrônicos, </w:t>
      </w:r>
      <w:hyperlink r:id="rId4" w:history="1">
        <w:r w:rsidRPr="00424694">
          <w:rPr>
            <w:rStyle w:val="Hyperlink"/>
            <w:rFonts w:ascii="Verdana" w:hAnsi="Verdana"/>
          </w:rPr>
          <w:t>www.leilaobrasil.com.br</w:t>
        </w:r>
      </w:hyperlink>
      <w:r w:rsidRPr="00424694">
        <w:rPr>
          <w:rFonts w:ascii="Verdana" w:hAnsi="Verdana"/>
        </w:rPr>
        <w:t>.</w:t>
      </w:r>
    </w:p>
    <w:p w14:paraId="594A164A" w14:textId="13FCCCE5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Do início e encerramento do Leilão: Início do 1° leilão em </w:t>
      </w:r>
      <w:r w:rsidR="003416CF" w:rsidRPr="00424694">
        <w:rPr>
          <w:rFonts w:ascii="Verdana" w:hAnsi="Verdana"/>
        </w:rPr>
        <w:t>07/03/2025</w:t>
      </w:r>
      <w:r w:rsidRPr="00424694">
        <w:rPr>
          <w:rFonts w:ascii="Verdana" w:hAnsi="Verdana"/>
        </w:rPr>
        <w:t xml:space="preserve"> às 10:52 horas e encerramento do 1° leilão em 1</w:t>
      </w:r>
      <w:r w:rsidR="003416CF" w:rsidRPr="00424694">
        <w:rPr>
          <w:rFonts w:ascii="Verdana" w:hAnsi="Verdana"/>
        </w:rPr>
        <w:t>0/03/2025</w:t>
      </w:r>
      <w:r w:rsidRPr="00424694">
        <w:rPr>
          <w:rFonts w:ascii="Verdana" w:hAnsi="Verdana"/>
        </w:rPr>
        <w:t xml:space="preserve"> às 10:52 horas, em não havendo lance igual ou superior ao valor da avaliação atualizada para a data supra, seguir-se-á sem interrupção o 2° leilão que se encerrará em </w:t>
      </w:r>
      <w:r w:rsidR="003416CF" w:rsidRPr="00424694">
        <w:rPr>
          <w:rFonts w:ascii="Verdana" w:hAnsi="Verdana"/>
        </w:rPr>
        <w:t>04/04/2025</w:t>
      </w:r>
      <w:r w:rsidRPr="00424694">
        <w:rPr>
          <w:rFonts w:ascii="Verdana" w:hAnsi="Verdana"/>
        </w:rPr>
        <w:t xml:space="preserve"> às 10:52 horas, não sendo aceito lances inferiores a 50% do valor da avaliação atualizada pelos índices do TJ-SP para a data da abertura do leilão, que deverá ser efetuado diretamente no sistema gestor através da internet.</w:t>
      </w:r>
    </w:p>
    <w:p w14:paraId="0A45F4B8" w14:textId="69D7EC98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Bem: A parte ideal de </w:t>
      </w:r>
      <w:r w:rsidR="003416CF" w:rsidRPr="00424694">
        <w:rPr>
          <w:rFonts w:ascii="Verdana" w:hAnsi="Verdana"/>
        </w:rPr>
        <w:t>(</w:t>
      </w:r>
      <w:r w:rsidRPr="00424694">
        <w:rPr>
          <w:rFonts w:ascii="Verdana" w:hAnsi="Verdana"/>
        </w:rPr>
        <w:t>50% pertencente à executada</w:t>
      </w:r>
      <w:r w:rsidR="003416CF" w:rsidRPr="00424694">
        <w:rPr>
          <w:rFonts w:ascii="Verdana" w:hAnsi="Verdana"/>
        </w:rPr>
        <w:t>)</w:t>
      </w:r>
      <w:r w:rsidRPr="00424694">
        <w:rPr>
          <w:rFonts w:ascii="Verdana" w:hAnsi="Verdana"/>
        </w:rPr>
        <w:t xml:space="preserve"> sobre um Terreno situado na Cidade, Distrito, Município e Comarca de Monte Alto/SP, no “Parque Residencial Laranjeiras”, consistente da metade do lote n° 241 da quadra 14, com frente para a “Rua </w:t>
      </w:r>
      <w:r w:rsidR="003416CF" w:rsidRPr="00424694">
        <w:rPr>
          <w:rFonts w:ascii="Verdana" w:hAnsi="Verdana"/>
        </w:rPr>
        <w:t>Antônio</w:t>
      </w:r>
      <w:r w:rsidRPr="00424694">
        <w:rPr>
          <w:rFonts w:ascii="Verdana" w:hAnsi="Verdana"/>
        </w:rPr>
        <w:t xml:space="preserve"> Branco”, com a área de 170m², medindo 10m de frente, com igual medida nos fundos por 17m da frente aos fundos, de ambos os lados, confrontando-se pela frente com a referida rua, pelo lado direito com a outra metade do lote n° 241, onde está edificado o prédio n° 141 da Rua Antônio Branco, pelo lado esquerdo com parte do lote n° 240, onde está edificado o prédio n° 121 da Rua Antônio Branco, e pelos fundos com parte do lote n° 246, onde está edificado o prédio n° 130 da Rua </w:t>
      </w:r>
      <w:r w:rsidRPr="00424694">
        <w:rPr>
          <w:rFonts w:ascii="Verdana" w:hAnsi="Verdana"/>
        </w:rPr>
        <w:lastRenderedPageBreak/>
        <w:t>José Pavanelli. Contribuinte: 12.053. Matrícula n° 22.586 do CRI de Monte Alto/SP. Ônus: Consta na Av.1, a averbação premonitória referente à distribuição do processo n° 0001840-76.2021.8.26.0368 da 3ª Vara Cível de Monte Alto. Consta na Av.2, a penhora da parte ideal de 50% sobre o imóvel pelo processo n° 0001224-67.2022.8.0368 da 3ª Vara Cível de Monte Alto. Consta na Av.3, a penhora da parte ideal de 50% sobre o imóvel pelo processo n° 0001840-76.2021.8.26.0368 da 3ª Vara Cível de Monte Alto. Dívida informada pelo exequente: R$ 11.146,28 (junho/2024).</w:t>
      </w:r>
    </w:p>
    <w:p w14:paraId="38C9F689" w14:textId="4EC96187" w:rsidR="00A6158E" w:rsidRPr="00424694" w:rsidRDefault="003416CF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Avaliação de</w:t>
      </w:r>
      <w:r w:rsidR="00A6158E" w:rsidRPr="00424694">
        <w:rPr>
          <w:rFonts w:ascii="Verdana" w:hAnsi="Verdana"/>
        </w:rPr>
        <w:t xml:space="preserve"> </w:t>
      </w:r>
      <w:r w:rsidRPr="00424694">
        <w:rPr>
          <w:rFonts w:ascii="Verdana" w:hAnsi="Verdana"/>
        </w:rPr>
        <w:t>(</w:t>
      </w:r>
      <w:r w:rsidR="00A6158E" w:rsidRPr="00424694">
        <w:rPr>
          <w:rFonts w:ascii="Verdana" w:hAnsi="Verdana"/>
        </w:rPr>
        <w:t>50%</w:t>
      </w:r>
      <w:r w:rsidRPr="00424694">
        <w:rPr>
          <w:rFonts w:ascii="Verdana" w:hAnsi="Verdana"/>
        </w:rPr>
        <w:t xml:space="preserve"> do imóvel),</w:t>
      </w:r>
      <w:r w:rsidR="00A6158E" w:rsidRPr="00424694">
        <w:rPr>
          <w:rFonts w:ascii="Verdana" w:hAnsi="Verdana"/>
        </w:rPr>
        <w:t xml:space="preserve"> R$ 75.000,00 (janeiro/2024).</w:t>
      </w:r>
    </w:p>
    <w:p w14:paraId="3703A862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25F7D70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BF041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161CBACB" w14:textId="644D1FB1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Da Adjudicação: Condicionada aos termos do art. 876 e 892, §</w:t>
      </w:r>
      <w:r w:rsidR="003416CF" w:rsidRPr="00424694">
        <w:rPr>
          <w:rFonts w:ascii="Verdana" w:hAnsi="Verdana"/>
        </w:rPr>
        <w:t xml:space="preserve"> </w:t>
      </w:r>
      <w:r w:rsidRPr="00424694">
        <w:rPr>
          <w:rFonts w:ascii="Verdana" w:hAnsi="Verdana"/>
        </w:rPr>
        <w:t>1° do CPC.</w:t>
      </w:r>
    </w:p>
    <w:p w14:paraId="6736B4AB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Do pagamento: O arrematante terá o prazo de 24 horas para efetuar o pagamento da arrematação e da comissão.</w:t>
      </w:r>
    </w:p>
    <w:p w14:paraId="38BDE36E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424694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67CACE99" w14:textId="1EAF66F0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§1° do CPC.</w:t>
      </w:r>
    </w:p>
    <w:p w14:paraId="6A64A30A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Recursos: Dos autos não consta recursos ou causa pendente de julgamento.</w:t>
      </w:r>
    </w:p>
    <w:p w14:paraId="31CFA035" w14:textId="7DC5B379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Da Carta de arrematação: A carta de arrematação será expedida pelo MM. Juiz nos termos dos art. 901 e 903 do CPC.</w:t>
      </w:r>
    </w:p>
    <w:p w14:paraId="0541E879" w14:textId="77777777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 xml:space="preserve">Dúvidas e Esclarecimentos: pessoalmente perante o 3° Ofício Cível, ou no escritório do Leiloeiro Oficial, Sr. Irani Flores, Avenida Paulista n° 2421, 2° andar, SP - Capital, ou ainda, pelo telefone (55 11) 3965-0000 / Whats App (55 11) 95662-5151, e e-mail: </w:t>
      </w:r>
      <w:hyperlink r:id="rId5" w:history="1">
        <w:r w:rsidRPr="00424694">
          <w:rPr>
            <w:rStyle w:val="Hyperlink"/>
            <w:rFonts w:ascii="Verdana" w:hAnsi="Verdana"/>
          </w:rPr>
          <w:t>atendimento@leilaobrasil.com.br</w:t>
        </w:r>
      </w:hyperlink>
      <w:r w:rsidRPr="00424694">
        <w:rPr>
          <w:rFonts w:ascii="Verdana" w:hAnsi="Verdana"/>
        </w:rPr>
        <w:t>.</w:t>
      </w:r>
    </w:p>
    <w:p w14:paraId="4C802DEB" w14:textId="2483118F" w:rsidR="00A6158E" w:rsidRPr="00424694" w:rsidRDefault="00A6158E" w:rsidP="00424694">
      <w:pPr>
        <w:spacing w:line="360" w:lineRule="auto"/>
        <w:jc w:val="both"/>
        <w:rPr>
          <w:rFonts w:ascii="Verdana" w:hAnsi="Verdana"/>
        </w:rPr>
      </w:pPr>
      <w:r w:rsidRPr="00424694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3416CF" w:rsidRPr="00424694">
        <w:rPr>
          <w:rFonts w:ascii="Verdana" w:hAnsi="Verdana"/>
        </w:rPr>
        <w:t xml:space="preserve"> </w:t>
      </w:r>
      <w:r w:rsidRPr="00424694">
        <w:rPr>
          <w:rFonts w:ascii="Verdana" w:hAnsi="Verdana"/>
        </w:rPr>
        <w:t>2° do CPC. Monte Alto, 09/09/2024</w:t>
      </w:r>
    </w:p>
    <w:p w14:paraId="39847E76" w14:textId="77777777" w:rsidR="00890A30" w:rsidRPr="00424694" w:rsidRDefault="00890A30" w:rsidP="00424694">
      <w:pPr>
        <w:spacing w:line="360" w:lineRule="auto"/>
        <w:jc w:val="both"/>
        <w:rPr>
          <w:rFonts w:ascii="Verdana" w:hAnsi="Verdana"/>
        </w:rPr>
      </w:pPr>
    </w:p>
    <w:sectPr w:rsidR="00890A30" w:rsidRPr="0042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04"/>
    <w:rsid w:val="003416CF"/>
    <w:rsid w:val="00422357"/>
    <w:rsid w:val="00424694"/>
    <w:rsid w:val="006538C2"/>
    <w:rsid w:val="00860E5A"/>
    <w:rsid w:val="00890A30"/>
    <w:rsid w:val="00A6158E"/>
    <w:rsid w:val="00B76B04"/>
    <w:rsid w:val="00B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289B"/>
  <w15:chartTrackingRefBased/>
  <w15:docId w15:val="{B3AAB632-E145-49F4-94EB-BACA748A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6B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6B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6B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6B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6B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6B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6B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B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6B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6B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B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76B0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2024-12-18T14:04:00Z</dcterms:created>
  <dcterms:modified xsi:type="dcterms:W3CDTF">2024-12-18T14:04:00Z</dcterms:modified>
</cp:coreProperties>
</file>