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7ABA5A" w14:textId="7777777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Edital de 1° e 2° leilão de bem móvel e para intimação de Lenio Rodrigues bem como de Sylvia Guedes Pereira, expedido nos autos da ação de Execução de Título Extrajudicial, que lhe requer Condomínio Edifício Anhembi. Processo n° 1014968-14.2020.8.26.0100</w:t>
      </w:r>
    </w:p>
    <w:p w14:paraId="614BEBD4" w14:textId="7777777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A Dra. Monica Di Stasi, Juíza de Direito da 3ª Vara Cível do Foro Central Cível, do Estado de São Paulo, na forma da lei, etc...</w:t>
      </w:r>
    </w:p>
    <w:p w14:paraId="38A31BC0" w14:textId="64530FB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Faz Saber que o Leiloeiro Oficial, Sr. Irani Flores, JUCESP 792, levarão à leilão público para venda e arrematação no local e hora descritos no edital com transmissão pela internet e disponibilização imediata na plataforma de leilões eletrônicos, </w:t>
      </w:r>
      <w:hyperlink r:id="rId4" w:history="1">
        <w:r w:rsidRPr="00437B38">
          <w:rPr>
            <w:rStyle w:val="Hyperlink"/>
            <w:rFonts w:ascii="Verdana" w:hAnsi="Verdana"/>
          </w:rPr>
          <w:t>www.leilaobrasil.com.br</w:t>
        </w:r>
      </w:hyperlink>
      <w:r w:rsidRPr="00437B38">
        <w:rPr>
          <w:rFonts w:ascii="Verdana" w:hAnsi="Verdana"/>
        </w:rPr>
        <w:t>.</w:t>
      </w:r>
    </w:p>
    <w:p w14:paraId="646C78A1" w14:textId="5AB8C4F4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 xml:space="preserve">Do Início e encerramento do Leilão: Início do 1° leilão em </w:t>
      </w:r>
      <w:r w:rsidR="006A09A9">
        <w:rPr>
          <w:rFonts w:ascii="Verdana" w:hAnsi="Verdana"/>
        </w:rPr>
        <w:t>13/06</w:t>
      </w:r>
      <w:r w:rsidR="008E67BE" w:rsidRPr="00437B38">
        <w:rPr>
          <w:rFonts w:ascii="Verdana" w:hAnsi="Verdana"/>
        </w:rPr>
        <w:t>/2025</w:t>
      </w:r>
      <w:r w:rsidRPr="00437B38">
        <w:rPr>
          <w:rFonts w:ascii="Verdana" w:hAnsi="Verdana"/>
        </w:rPr>
        <w:t xml:space="preserve"> às 10:</w:t>
      </w:r>
      <w:r w:rsidR="006A09A9">
        <w:rPr>
          <w:rFonts w:ascii="Verdana" w:hAnsi="Verdana"/>
        </w:rPr>
        <w:t>24</w:t>
      </w:r>
      <w:r w:rsidRPr="00437B38">
        <w:rPr>
          <w:rFonts w:ascii="Verdana" w:hAnsi="Verdana"/>
        </w:rPr>
        <w:t xml:space="preserve"> horas e encerramento do 1° leilão em </w:t>
      </w:r>
      <w:r w:rsidR="006A09A9">
        <w:rPr>
          <w:rFonts w:ascii="Verdana" w:hAnsi="Verdana"/>
        </w:rPr>
        <w:t>16/06</w:t>
      </w:r>
      <w:r w:rsidR="008E67BE" w:rsidRPr="00437B38">
        <w:rPr>
          <w:rFonts w:ascii="Verdana" w:hAnsi="Verdana"/>
        </w:rPr>
        <w:t>/2025</w:t>
      </w:r>
      <w:r w:rsidRPr="00437B38">
        <w:rPr>
          <w:rFonts w:ascii="Verdana" w:hAnsi="Verdana"/>
        </w:rPr>
        <w:t xml:space="preserve"> às 10:</w:t>
      </w:r>
      <w:r w:rsidR="006A09A9">
        <w:rPr>
          <w:rFonts w:ascii="Verdana" w:hAnsi="Verdana"/>
        </w:rPr>
        <w:t>24</w:t>
      </w:r>
      <w:r w:rsidRPr="00437B38">
        <w:rPr>
          <w:rFonts w:ascii="Verdana" w:hAnsi="Verdana"/>
        </w:rPr>
        <w:t xml:space="preserve"> horas, em não havendo lance igual ou superior ao valor da avaliação atualizada para a data supra, seguir-se-á sem interrupção o 2° leilão que se encerrará em </w:t>
      </w:r>
      <w:r w:rsidR="006A09A9">
        <w:rPr>
          <w:rFonts w:ascii="Verdana" w:hAnsi="Verdana"/>
        </w:rPr>
        <w:t>11/07</w:t>
      </w:r>
      <w:r w:rsidR="008E67BE" w:rsidRPr="00437B38">
        <w:rPr>
          <w:rFonts w:ascii="Verdana" w:hAnsi="Verdana"/>
        </w:rPr>
        <w:t>/2025</w:t>
      </w:r>
      <w:r w:rsidRPr="00437B38">
        <w:rPr>
          <w:rFonts w:ascii="Verdana" w:hAnsi="Verdana"/>
        </w:rPr>
        <w:t xml:space="preserve"> às 10:</w:t>
      </w:r>
      <w:r w:rsidR="006A09A9">
        <w:rPr>
          <w:rFonts w:ascii="Verdana" w:hAnsi="Verdana"/>
        </w:rPr>
        <w:t>24</w:t>
      </w:r>
      <w:r w:rsidRPr="00437B38">
        <w:rPr>
          <w:rFonts w:ascii="Verdana" w:hAnsi="Verdana"/>
        </w:rPr>
        <w:t xml:space="preserve"> horas, não sendo aceito lances inferiores a 50% do valor da avaliação atualizada pelos índices do TJSP para a data da abertura do leilão que deverá ser ofertado diretamente na plataforma de leiloes  através da internet.</w:t>
      </w:r>
    </w:p>
    <w:p w14:paraId="305C9733" w14:textId="7777777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Bem: Conjunto nº 109, localizado no 1º andar do Edifício Anhembi, situado na Rua Jesuíno Paschoal, nº 29 no 11º Subdistrito Santa Cecilia, com a área construída de 37,22m², já incluídas neste total as áreas de uso comum, correspondendo-lhe uma fração ideal de 1,0401% do terreno do edifício. Matrícula: 137.345 do 2º Cartório de Registro de Imóveis de São Paulo. Contribuinte: 007.036.0331-0. Não Foral localizados débitos fiscais no site da prefeitura. Ônus: Consta na Av.1 penhora exequenda.</w:t>
      </w:r>
    </w:p>
    <w:p w14:paraId="6B2149C7" w14:textId="7777777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Avaliação R$ 338.698,00 (junho/2023).</w:t>
      </w:r>
    </w:p>
    <w:p w14:paraId="771857B8" w14:textId="7777777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 xml:space="preserve">Quem pode ofertar lances: É permitido a todos interessados fazer lances diretamente no sistema gestor, desde que, cadastrado e habilitado com no mínimo 24 horas que antecedem o encerramento do </w:t>
      </w:r>
      <w:r w:rsidRPr="00437B38">
        <w:rPr>
          <w:rFonts w:ascii="Verdana" w:hAnsi="Verdana"/>
        </w:rPr>
        <w:lastRenderedPageBreak/>
        <w:t>leilão; exceto os que se enquadrem no art. 890 do código de processo civil, ainda que cadastrados e habilitados no sistema.</w:t>
      </w:r>
    </w:p>
    <w:p w14:paraId="7BEA1491" w14:textId="7777777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Da Prorrogação do Leilão: Sobrevindo lance a menos de três minutos para o enceramento, o sistema prorrogará automaticamente por mais três minutos sucessivamente para que todos tenham as mesmas chances.</w:t>
      </w:r>
    </w:p>
    <w:p w14:paraId="5E240013" w14:textId="7777777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Da Comissão: A comissão do leiloeiro será de 5% sobre o valor da arrematação, não estando incluída no valor da arrematação e deverá ser paga diretamente ao leiloeiro.</w:t>
      </w:r>
    </w:p>
    <w:p w14:paraId="2623CD6B" w14:textId="7777777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Da Adjudicação: Condicionada aos termos do art. 876 e 892, § 1° do código de processo civil.</w:t>
      </w:r>
    </w:p>
    <w:p w14:paraId="468C46A8" w14:textId="77777777" w:rsidR="000125BF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Do pagamento: O arrematante terá o prazo de 24 horas para efetuar o pagamento das guias da arrematação e da comissão do Leiloeiro.</w:t>
      </w:r>
    </w:p>
    <w:p w14:paraId="049D97CC" w14:textId="77777777" w:rsidR="00021FCF" w:rsidRPr="0006362A" w:rsidRDefault="00021FCF" w:rsidP="00021FCF">
      <w:pPr>
        <w:spacing w:line="360" w:lineRule="auto"/>
        <w:jc w:val="both"/>
        <w:rPr>
          <w:rFonts w:ascii="Verdana" w:hAnsi="Verdana"/>
        </w:rPr>
      </w:pPr>
      <w:r w:rsidRPr="0006362A">
        <w:rPr>
          <w:rFonts w:ascii="Verdana" w:hAnsi="Verdana"/>
        </w:rPr>
        <w:t>Do pagamento parcelado: O parcelamento da arrematação dar-se-á nos termos da Lei; não sendo aceitos  valor inferior a 25% do valor do lance ofertado para pagamento e vista e prazo superior a 30 parcelas mensais e consecutivas, Artigo 895, §2°, §7° e §8°, todos do CPC,  Artigo 14 e 22 da Resolução 236/2016 do CNJ e artigo 264 da NSCGJ 16/2025 compreendendo a ampla divulgação e transparência necessárias ao judiciário; podendo  o interessado ofertar “Real Time dentro do Auditório Virtual”, valor e quantidade de parcelas diferente para cada lance ofertado. As guias para pagamento das parcelas mensais deverão ser geradas pelo próprio arrematante diretamente no site do Tribunal. O interessado deverá atentar para o disposto nos demais parágrafos do artigo 895 quanto ao valor da parcela mensal, do vencimento,  das garantias, da atualização mensal das parcelas vincendas e da decisão exarada pelo MM. Juiz nos autos.</w:t>
      </w:r>
    </w:p>
    <w:p w14:paraId="2CD51B57" w14:textId="77777777" w:rsidR="00021FCF" w:rsidRPr="0006362A" w:rsidRDefault="00021FCF" w:rsidP="00021FCF">
      <w:pPr>
        <w:spacing w:line="360" w:lineRule="auto"/>
        <w:jc w:val="both"/>
        <w:rPr>
          <w:rFonts w:ascii="Verdana" w:hAnsi="Verdana"/>
        </w:rPr>
      </w:pPr>
      <w:r w:rsidRPr="0006362A">
        <w:rPr>
          <w:rFonts w:ascii="Verdana" w:hAnsi="Verdana"/>
        </w:rPr>
        <w:t xml:space="preserve">Das Garantias: Os bens serão vendidos em caráter “ad corpus”, e no estado em que se encontram, cabendo exclusivamente ao interessado fazer a verificação inclusive processual antes de ofertar lances; </w:t>
      </w:r>
      <w:r w:rsidRPr="0006362A">
        <w:rPr>
          <w:rFonts w:ascii="Verdana" w:hAnsi="Verdana"/>
        </w:rPr>
        <w:lastRenderedPageBreak/>
        <w:t>ressaltando que as visitações nem sempre é possível uma vez que na maioria das vezes os bens se encontram na posse do executado.</w:t>
      </w:r>
    </w:p>
    <w:p w14:paraId="0686B538" w14:textId="77777777" w:rsidR="00021FCF" w:rsidRDefault="00021FCF" w:rsidP="00021FCF">
      <w:pPr>
        <w:spacing w:line="360" w:lineRule="auto"/>
        <w:jc w:val="both"/>
        <w:rPr>
          <w:rFonts w:ascii="Verdana" w:hAnsi="Verdana"/>
        </w:rPr>
      </w:pPr>
      <w:r w:rsidRPr="0006362A">
        <w:rPr>
          <w:rFonts w:ascii="Verdana" w:hAnsi="Verdana"/>
        </w:rPr>
        <w:t>Responsabilidade outras: Correrão por conta exclusiva do arrematante as despesas gerais relativas à desmontagem, transporte e transferência patrimonial dos bens arrematados, exceto os que se enquadrem no art. 130, § único do CTN e art. 908, § 1° do código de processo civil. Caberá também ao arrematante juntar comprovantes,  solicitar as baixas de gravames e outras restrições que recaiam sobre o bem arrematado diretamente ao órgão competente.</w:t>
      </w:r>
    </w:p>
    <w:p w14:paraId="4D050198" w14:textId="7777777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Recursos: Dos autos não consta recursos ou causa pendente de julgamento.</w:t>
      </w:r>
    </w:p>
    <w:p w14:paraId="541B13C9" w14:textId="7777777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Da Carta de arrematação: A carta de arrematação será expedida pelo MM. Juiz nos termos dos art. 901 e 903 do código de processo civil.</w:t>
      </w:r>
    </w:p>
    <w:p w14:paraId="2DD2F19E" w14:textId="7777777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Dúvidas e Esclarecimentos: pessoalmente perante o 3° Ofício Cível, ou no escritório do leiloeiro oficial, Sr. Irani Flores, Avenida Paulista, 2421, 2º andar, SP - Capital, ou ainda, pelo telefone 55 11 3965-0000 / Whats App 55 11 95662-5151, e e-mail: </w:t>
      </w:r>
      <w:hyperlink r:id="rId5" w:history="1">
        <w:r w:rsidRPr="00437B38">
          <w:rPr>
            <w:rStyle w:val="Hyperlink"/>
            <w:rFonts w:ascii="Verdana" w:hAnsi="Verdana"/>
          </w:rPr>
          <w:t>atendimento@leilaobrasil.com.br</w:t>
        </w:r>
      </w:hyperlink>
    </w:p>
    <w:p w14:paraId="108C0DF2" w14:textId="77777777" w:rsidR="000125BF" w:rsidRPr="00437B38" w:rsidRDefault="000125BF" w:rsidP="00437B38">
      <w:pPr>
        <w:spacing w:line="360" w:lineRule="auto"/>
        <w:jc w:val="both"/>
        <w:rPr>
          <w:rFonts w:ascii="Verdana" w:hAnsi="Verdana"/>
        </w:rPr>
      </w:pPr>
      <w:r w:rsidRPr="00437B38">
        <w:rPr>
          <w:rFonts w:ascii="Verdana" w:hAnsi="Verdana"/>
        </w:rPr>
        <w:t>Ficam os executados, bem como eventuais interessados, INTIMADOS das designações supra, caso não sejam localizados para as intimações pessoais, será o edital “por extrato”, afixado e publicado na forma da lei, Provimento CGJ n° 32/2018, art. 428.1.2, e art. 887, § 2° do código de processo civil, São Paulo, 06/03/2024.</w:t>
      </w:r>
    </w:p>
    <w:p w14:paraId="67FFC4B1" w14:textId="77777777" w:rsidR="00890A30" w:rsidRPr="00437B38" w:rsidRDefault="00890A30" w:rsidP="00437B38">
      <w:pPr>
        <w:spacing w:line="360" w:lineRule="auto"/>
        <w:jc w:val="both"/>
        <w:rPr>
          <w:rFonts w:ascii="Verdana" w:hAnsi="Verdana"/>
        </w:rPr>
      </w:pPr>
    </w:p>
    <w:sectPr w:rsidR="00890A30" w:rsidRPr="00437B3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25BF"/>
    <w:rsid w:val="000125BF"/>
    <w:rsid w:val="00021FCF"/>
    <w:rsid w:val="000F16E9"/>
    <w:rsid w:val="00164AB9"/>
    <w:rsid w:val="002048FF"/>
    <w:rsid w:val="00437B38"/>
    <w:rsid w:val="00453E45"/>
    <w:rsid w:val="004A42F0"/>
    <w:rsid w:val="004D1E4F"/>
    <w:rsid w:val="006538C2"/>
    <w:rsid w:val="006A09A9"/>
    <w:rsid w:val="007210F6"/>
    <w:rsid w:val="00890A30"/>
    <w:rsid w:val="008E67BE"/>
    <w:rsid w:val="009F4E8F"/>
    <w:rsid w:val="00B94CC8"/>
    <w:rsid w:val="00E64D59"/>
    <w:rsid w:val="00F12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EB481"/>
  <w15:chartTrackingRefBased/>
  <w15:docId w15:val="{DEC60C88-CF45-4016-94A1-51EEC8989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125B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125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125B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125B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125B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125B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0125B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0125B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0125B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0125B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125B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125B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125BF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125BF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125BF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0125BF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0125BF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0125BF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0125B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0125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0125B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0125B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0125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0125BF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0125BF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0125BF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0125B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0125BF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0125B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Fontepargpadro"/>
    <w:uiPriority w:val="99"/>
    <w:unhideWhenUsed/>
    <w:rsid w:val="000125BF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0125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37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9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7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1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tendimento@leilaobrasil.com.br" TargetMode="External"/><Relationship Id="rId4" Type="http://schemas.openxmlformats.org/officeDocument/2006/relationships/hyperlink" Target="http://www.leilaobrasil.com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818</Words>
  <Characters>4421</Characters>
  <Application>Microsoft Office Word</Application>
  <DocSecurity>0</DocSecurity>
  <Lines>36</Lines>
  <Paragraphs>10</Paragraphs>
  <ScaleCrop>false</ScaleCrop>
  <Company/>
  <LinksUpToDate>false</LinksUpToDate>
  <CharactersWithSpaces>5229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LEILÃO BRASIL</dc:creator>
  <cp:keywords/>
  <dc:description/>
  <cp:lastModifiedBy>IRANI FLORES</cp:lastModifiedBy>
  <cp:revision>2</cp:revision>
  <dcterms:created xsi:type="dcterms:W3CDTF">2025-04-17T14:48:00Z</dcterms:created>
  <dcterms:modified xsi:type="dcterms:W3CDTF">2025-04-17T14:48:00Z</dcterms:modified>
</cp:coreProperties>
</file>