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611E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 xml:space="preserve">Edital de 1° e 2° leilão de bem móvel e para intimação de </w:t>
      </w:r>
      <w:proofErr w:type="spellStart"/>
      <w:r w:rsidRPr="00DB1126">
        <w:rPr>
          <w:rFonts w:ascii="Verdana" w:hAnsi="Verdana"/>
        </w:rPr>
        <w:t>Rcm</w:t>
      </w:r>
      <w:proofErr w:type="spellEnd"/>
      <w:r w:rsidRPr="00DB1126">
        <w:rPr>
          <w:rFonts w:ascii="Verdana" w:hAnsi="Verdana"/>
        </w:rPr>
        <w:t xml:space="preserve"> </w:t>
      </w:r>
      <w:proofErr w:type="spellStart"/>
      <w:r w:rsidRPr="00DB1126">
        <w:rPr>
          <w:rFonts w:ascii="Verdana" w:hAnsi="Verdana"/>
        </w:rPr>
        <w:t>Izumi</w:t>
      </w:r>
      <w:proofErr w:type="spellEnd"/>
      <w:r w:rsidRPr="00DB1126">
        <w:rPr>
          <w:rFonts w:ascii="Verdana" w:hAnsi="Verdana"/>
        </w:rPr>
        <w:t xml:space="preserve"> Construtora Ltda, expedido nos autos da ação de Execução de Título Extrajudicial, que lhe requer Maria </w:t>
      </w:r>
      <w:proofErr w:type="spellStart"/>
      <w:r w:rsidRPr="00DB1126">
        <w:rPr>
          <w:rFonts w:ascii="Verdana" w:hAnsi="Verdana"/>
        </w:rPr>
        <w:t>Baichi</w:t>
      </w:r>
      <w:proofErr w:type="spellEnd"/>
      <w:r w:rsidRPr="00DB1126">
        <w:rPr>
          <w:rFonts w:ascii="Verdana" w:hAnsi="Verdana"/>
        </w:rPr>
        <w:t xml:space="preserve"> Neves, Mauro Aparecido Neves, Maria Isabel Neves Coelho, Sonia Maria Neves de Moraes, Mário Juvenil Neves e Cristina de Fatima Neves. Processo n° 1016311-36.2023.8.26.0554</w:t>
      </w:r>
    </w:p>
    <w:p w14:paraId="46C2B50F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36A8CF59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O Dr. Sidnei Vieira Da Silva, Juiz de Direito da 9ª Vara Cível do Foro de Santo André, do Estado de São Paulo, na forma da lei, etc...</w:t>
      </w:r>
    </w:p>
    <w:p w14:paraId="05276D71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549E2EF0" w14:textId="4507F813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Faz Saber que a Leiloeira Oficial, Sra. Aline Souza Flores, JUCESP nº1218, levará a leilão público para venda e arrematação, no local e hora descritos no edital com transmissão pela internet  e</w:t>
      </w:r>
      <w:r w:rsidR="00837078">
        <w:rPr>
          <w:rFonts w:ascii="Verdana" w:hAnsi="Verdana"/>
        </w:rPr>
        <w:t xml:space="preserve"> </w:t>
      </w:r>
      <w:r w:rsidRPr="00DB1126">
        <w:rPr>
          <w:rFonts w:ascii="Verdana" w:hAnsi="Verdana"/>
        </w:rPr>
        <w:t>disponibilização imediata na plataforma de leilões eletrônicos, www.leilaobrasil.com.br.</w:t>
      </w:r>
    </w:p>
    <w:p w14:paraId="537B9171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4687773D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Do início e encerramento do Leilão: Início do 1° leilão em 25/07/2025 às 10:31 horas e encerramento do 1° leilão em 28/07/2025 às 10:31 horas, em não havendo lance igual ou superior ao valor da avaliação atualizada para a data supra, seguir-se-á sem interrupção o 2° leilão que se encerrará em 22/09/2025 às 10:31 horas, não sendo aceito lances inferiores a 50% do valor da avaliação atualizada pelos índices do TJSP para a data da abertura do leilão que deverá ser ofertado diretamente na plataforma através da internet.</w:t>
      </w:r>
    </w:p>
    <w:p w14:paraId="55F63B2C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6248E2EB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 xml:space="preserve">Bem: Veículo fiat Strada </w:t>
      </w:r>
      <w:proofErr w:type="spellStart"/>
      <w:r w:rsidRPr="00DB1126">
        <w:rPr>
          <w:rFonts w:ascii="Verdana" w:hAnsi="Verdana"/>
        </w:rPr>
        <w:t>working</w:t>
      </w:r>
      <w:proofErr w:type="spellEnd"/>
      <w:r w:rsidRPr="00DB1126">
        <w:rPr>
          <w:rFonts w:ascii="Verdana" w:hAnsi="Verdana"/>
        </w:rPr>
        <w:t xml:space="preserve">, placa AYO4J47. Consta nos altos que o bem encontrava-se em bom estado de conservação, com alguns riscos na pintura e com o para-choque traseiro direito meio amassado; com os pneus em estado regular, aparentando bastante tempo de uso; </w:t>
      </w:r>
      <w:r w:rsidRPr="00DB1126">
        <w:rPr>
          <w:rFonts w:ascii="Verdana" w:hAnsi="Verdana"/>
        </w:rPr>
        <w:lastRenderedPageBreak/>
        <w:t>estofados em bom estado; parte traseira com riscos na pintura; com macaco, triângulo e estepe, meio desgastada, observando a seguinte quilometragem - 96.621. Ônus: Consta nos autos as fls. 287 que o veículo possuí débitos no valor de R$ 2.601,82. Consta ainda a informação de que o bem possui restrição administrativa de Sinistro/ Recuperado. Local da penhora: Avenida Araucária, 1001, Parque Oratório. Depositário:</w:t>
      </w:r>
    </w:p>
    <w:p w14:paraId="21364CB5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3B296E7B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Avaliação R$ 47.000,00;</w:t>
      </w:r>
    </w:p>
    <w:p w14:paraId="3F803D66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35C04E4B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885DBA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6380712D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182A590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1C165377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1F8CC104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75D5868C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Da Adjudicação: Condicionada aos termos do art. 876 e 892, § 1° do código de processo civil.</w:t>
      </w:r>
    </w:p>
    <w:p w14:paraId="1B97AFBC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253D70FA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Do pagamento: O arrematante terá o prazo de 24 horas para efetuar o pagamento da arrematação e da comissão.</w:t>
      </w:r>
    </w:p>
    <w:p w14:paraId="4123EAB5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19EFEAF6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2415A49A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6D587B7D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686588D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1B001A07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6DF33B4F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27372B74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lastRenderedPageBreak/>
        <w:t>Recursos: Dos autos não consta recursos ou causa pendente de julgamento.</w:t>
      </w:r>
    </w:p>
    <w:p w14:paraId="0A8ACE65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0A1CB696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0A954D52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1CC3F871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Dúvidas e Esclarecimentos: pessoalmente perante o 9º Ofício Cível, ou no escritório do Leiloeiro Oficial, Sra. Aline Souza Flores, Avenida Paulista n° 2421, 2° andar, SP - Capital, ou ainda, pelo telefone 11 3965-0000 / Whats App 11 95662-5151, e e-mail: atendimento@leilaobrasil.com.br.</w:t>
      </w:r>
    </w:p>
    <w:p w14:paraId="251EBCA0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</w:p>
    <w:p w14:paraId="27371B18" w14:textId="77777777" w:rsidR="00DB1126" w:rsidRPr="00DB1126" w:rsidRDefault="00DB1126" w:rsidP="00DB1126">
      <w:pPr>
        <w:spacing w:line="360" w:lineRule="auto"/>
        <w:jc w:val="both"/>
        <w:rPr>
          <w:rFonts w:ascii="Verdana" w:hAnsi="Verdana"/>
        </w:rPr>
      </w:pPr>
      <w:r w:rsidRPr="00DB112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CPC, NADA MAIS. Dado e passado nesta cidade de Santo André, aos 01 de julho de 2025.</w:t>
      </w:r>
    </w:p>
    <w:p w14:paraId="4FDF4EE7" w14:textId="77777777" w:rsidR="00890A30" w:rsidRDefault="00890A30"/>
    <w:sectPr w:rsidR="00890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26"/>
    <w:rsid w:val="002F108A"/>
    <w:rsid w:val="006538C2"/>
    <w:rsid w:val="00837078"/>
    <w:rsid w:val="00890A30"/>
    <w:rsid w:val="00D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C93"/>
  <w15:chartTrackingRefBased/>
  <w15:docId w15:val="{3A1D0664-DE01-4E64-B563-0DFA798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1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1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1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1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1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1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1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1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1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1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11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11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11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11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11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11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1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1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1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11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11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11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1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11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1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2025-07-23T18:38:00Z</dcterms:created>
  <dcterms:modified xsi:type="dcterms:W3CDTF">2025-07-23T18:39:00Z</dcterms:modified>
</cp:coreProperties>
</file>