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D7A2" w14:textId="7AA78375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EDITAL - 1ª E 2ª LEILÃO DO BEM ABAIXO DESCRITO, CONHECIMENTO DE EVENTUAIS INTERESSADOS NA LIDE E INTIMAÇÃO DO RÉU JUAN CARLOS</w:t>
      </w:r>
      <w:r>
        <w:rPr>
          <w:rFonts w:ascii="Verdana" w:hAnsi="Verdana"/>
        </w:rPr>
        <w:t xml:space="preserve"> </w:t>
      </w:r>
      <w:r w:rsidRPr="00B35155">
        <w:rPr>
          <w:rFonts w:ascii="Verdana" w:hAnsi="Verdana"/>
        </w:rPr>
        <w:t>MAMANI AGUIRRE, expedido nos autos da ação de Execução de Título Extrajudicial - Compromisso movida por WANDERLEY PAPA ALVES E OUTROS em face de JUAN CARLOS MAMANI AGUIRRE, PROCESSO Nº 1041687-04.2018.8.26.0100</w:t>
      </w:r>
    </w:p>
    <w:p w14:paraId="135118B6" w14:textId="076B0C2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 xml:space="preserve">O(A) MM. Juiz(a) de Direito da 2ª Vara Cível, do Foro Regional I - Santana, Estado de São Paulo, </w:t>
      </w:r>
      <w:proofErr w:type="spellStart"/>
      <w:r w:rsidRPr="00B35155">
        <w:rPr>
          <w:rFonts w:ascii="Verdana" w:hAnsi="Verdana"/>
        </w:rPr>
        <w:t>Dr</w:t>
      </w:r>
      <w:proofErr w:type="spellEnd"/>
      <w:r w:rsidRPr="00B35155">
        <w:rPr>
          <w:rFonts w:ascii="Verdana" w:hAnsi="Verdana"/>
        </w:rPr>
        <w:t>(a). DANIELA CLAUDIA HERRERA XIMENES, na forma da Lei, etc.</w:t>
      </w:r>
    </w:p>
    <w:p w14:paraId="292DACF3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 xml:space="preserve">Edital de 1° e 2° leilão dos direitos sobre bem imóvel e para intimação de, Juan Carlos Mamani Aguirre, CPF - 232.530.788-33, bem como dos terceiros </w:t>
      </w:r>
      <w:proofErr w:type="spellStart"/>
      <w:r w:rsidRPr="00B35155">
        <w:rPr>
          <w:rFonts w:ascii="Verdana" w:hAnsi="Verdana"/>
        </w:rPr>
        <w:t>Antonio</w:t>
      </w:r>
      <w:proofErr w:type="spellEnd"/>
      <w:r w:rsidRPr="00B35155">
        <w:rPr>
          <w:rFonts w:ascii="Verdana" w:hAnsi="Verdana"/>
        </w:rPr>
        <w:t xml:space="preserve"> de Souza e Jose Maria dos Santos, expedido nos autos da ação Execução de Título Extrajudicial que lhe requer Wanderley Papa Alves, </w:t>
      </w:r>
      <w:proofErr w:type="spellStart"/>
      <w:r w:rsidRPr="00B35155">
        <w:rPr>
          <w:rFonts w:ascii="Verdana" w:hAnsi="Verdana"/>
        </w:rPr>
        <w:t>Magdieela</w:t>
      </w:r>
      <w:proofErr w:type="spellEnd"/>
      <w:r w:rsidRPr="00B35155">
        <w:rPr>
          <w:rFonts w:ascii="Verdana" w:hAnsi="Verdana"/>
        </w:rPr>
        <w:t xml:space="preserve"> Martins Ruiz Alves, Mauricio Papa Alves, Elaine Cristina Borges, Odair Papa Alves, Danielle </w:t>
      </w:r>
      <w:proofErr w:type="spellStart"/>
      <w:r w:rsidRPr="00B35155">
        <w:rPr>
          <w:rFonts w:ascii="Verdana" w:hAnsi="Verdana"/>
        </w:rPr>
        <w:t>Valicelli</w:t>
      </w:r>
      <w:proofErr w:type="spellEnd"/>
      <w:r w:rsidRPr="00B35155">
        <w:rPr>
          <w:rFonts w:ascii="Verdana" w:hAnsi="Verdana"/>
        </w:rPr>
        <w:t xml:space="preserve"> Alves, Ana Maria Alves, Maire Albertina Alves, </w:t>
      </w:r>
      <w:proofErr w:type="spellStart"/>
      <w:r w:rsidRPr="00B35155">
        <w:rPr>
          <w:rFonts w:ascii="Verdana" w:hAnsi="Verdana"/>
        </w:rPr>
        <w:t>Nidia</w:t>
      </w:r>
      <w:proofErr w:type="spellEnd"/>
      <w:r w:rsidRPr="00B35155">
        <w:rPr>
          <w:rFonts w:ascii="Verdana" w:hAnsi="Verdana"/>
        </w:rPr>
        <w:t xml:space="preserve"> Maria Silva Santana, Joao Luiz Alves Santana, Conceição Alves Santana, João Alves Santana Neto, Maria Alves Santana Processo n° 1041687-04.2018.8.26.0100</w:t>
      </w:r>
    </w:p>
    <w:p w14:paraId="5850ADE8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A Dra. Daniela Claudia Herrera Ximenes, Juíza de Direito da 2ª Vara Cível do Foro Regional I de Santana, do Estado de São Paulo, na forma da lei, etc...</w:t>
      </w:r>
    </w:p>
    <w:p w14:paraId="2A2C9000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Faz Saber que o Leiloeira Oficial, Sra. Dagmar C. S. Flores, JUCESP nº901, levará a leilão público para venda e arrematação, no local e hora descritos no edital com transmissão pela internet e disponibilização imediata na plataforma de leilões eletrônicos, www.leilaobrasil.com.br.</w:t>
      </w:r>
    </w:p>
    <w:p w14:paraId="0A9D0700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 xml:space="preserve">Do início e encerramento do Leilão: Início do 1° leilão em 20/06/2025 às 10:08 horas e encerramento do 1° leilão em 23/06/2025 às 10:08 horas, em não havendo lance igual ou superior ao valor da avaliação atualizada para a data supra, seguir-se-á sem interrupção o 2° leilão </w:t>
      </w:r>
      <w:r w:rsidRPr="00B35155">
        <w:rPr>
          <w:rFonts w:ascii="Verdana" w:hAnsi="Verdana"/>
        </w:rPr>
        <w:lastRenderedPageBreak/>
        <w:t>que se iniciara 23/06/2025 as 10:08 horas e encerrará em 18/07/2025 às 10:08 horas, não sendo aceito lances inferiores a 60% do valor da avaliação atualizada pelos índices do TJSP para a data da abertura do leilão que deverá ser ofertado diretamente na plataforma através da internet.</w:t>
      </w:r>
    </w:p>
    <w:p w14:paraId="17F20198" w14:textId="6F0C41F0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Bem: Os direitos do executado sobre um tereno e sua respectiva construção, constante na planta particular medindo 7,10m da frente para à citada rua, por 26,70 pelo lado direito de que da rua olha para o imóvel 28,20m pelo lado esquerdo, e mede 7,00m nos fundos encerrando a área total de 192,00m². Contribuinte nº 071.378.0033-5. Segundo informações da certidão da Prefeitura, o imóvel está localizado na Rua Pedra Formosa, 107, Imirim SP; Referido imóvel é oriundo da transcrição 64.931 do 3º CRI de São Paulo que possui as seguintes averbações: Ônus: Consta na Av.1 que parte do terreno objeto da presente transcrição foi aberta a rua Particular com a área</w:t>
      </w:r>
      <w:r>
        <w:rPr>
          <w:rFonts w:ascii="Verdana" w:hAnsi="Verdana"/>
        </w:rPr>
        <w:t xml:space="preserve"> </w:t>
      </w:r>
      <w:r w:rsidRPr="00B35155">
        <w:rPr>
          <w:rFonts w:ascii="Verdana" w:hAnsi="Verdana"/>
        </w:rPr>
        <w:t>de</w:t>
      </w:r>
      <w:r>
        <w:rPr>
          <w:rFonts w:ascii="Verdana" w:hAnsi="Verdana"/>
        </w:rPr>
        <w:t xml:space="preserve"> </w:t>
      </w:r>
      <w:r w:rsidRPr="00B35155">
        <w:rPr>
          <w:rFonts w:ascii="Verdana" w:hAnsi="Verdana"/>
        </w:rPr>
        <w:t xml:space="preserve">286,00 m²., medindo 5,00 metros de largura em toda a sua extensão por 57,20 metros., de ambos os lados, da frente aos fundos, confrontando pela frente com a rua G, do lado direito de quem da rua G olha para esta rua Particular, confrontando com o requerente, do lado esquerdo com a viela sanitária, e nos fundos com as divisas dos herdeiros de Deolinda </w:t>
      </w:r>
      <w:proofErr w:type="spellStart"/>
      <w:r w:rsidRPr="00B35155">
        <w:rPr>
          <w:rFonts w:ascii="Verdana" w:hAnsi="Verdana"/>
        </w:rPr>
        <w:t>Raveli</w:t>
      </w:r>
      <w:proofErr w:type="spellEnd"/>
      <w:r w:rsidRPr="00B35155">
        <w:rPr>
          <w:rFonts w:ascii="Verdana" w:hAnsi="Verdana"/>
        </w:rPr>
        <w:t xml:space="preserve">, atualmente rua A. Consta na Av.2 que parte do terreno objeto da presente transcrição foi aberta a rua C, com a área de 1.696,00m², mais ou menos, medindo 9,00 metros de largura em toda a sua extensão, do lado direito de quem da rua Particular, olha para essa rua mede 195,70 metros, sendo que ao atingir os primeiros 172,70 metros, essa rua faz uma deflexão à esquerda e segue numa extensão de 23,00 metros, do lado esquerdo mede 181,15metros, sendo que ao atingir os primeiros 165,55 metros, essa rua faz uma deflexão à esquerda e segue numa extensão de 15,60 metros, confrontando pela frente com a rua Particular, de ambos os lados confronta com o requerente e nos fundos confronta com a rua C, </w:t>
      </w:r>
      <w:r w:rsidRPr="00B35155">
        <w:rPr>
          <w:rFonts w:ascii="Verdana" w:hAnsi="Verdana"/>
        </w:rPr>
        <w:lastRenderedPageBreak/>
        <w:t xml:space="preserve">aberta em terrenos que outrora confrontava com herdeiros de Deolinda Ravelli; Consta na Av.3 e Av.23 que de acordo com o v. acordão da Primeira Câmara Civil do Tribunal de Justiça deste Estado, fica constando que o imóvel objeto da mesma, encerra a área total de 14.850,00 m; Consta na transcrição que o imóvel sofreu dezenas de alienações que não foram certificadas. Consta na </w:t>
      </w:r>
      <w:r w:rsidRPr="00B35155">
        <w:rPr>
          <w:rFonts w:ascii="Verdana" w:hAnsi="Verdana"/>
        </w:rPr>
        <w:t>transcrição</w:t>
      </w:r>
      <w:r w:rsidRPr="00B35155">
        <w:rPr>
          <w:rFonts w:ascii="Verdana" w:hAnsi="Verdana"/>
        </w:rPr>
        <w:t xml:space="preserve"> que o bem quem questão situado a rua Pedra Formosa nº 107, lançado pelo contribuinte nº071.378.0033-5, pelos levantamentos efetuados nesta Serventia, foi adquirido em maior área, através da transcrição nº 64.931, existindo no CRI, apenas para efeito de localização e disponibilidade, planta particular, tratando-se, portanto, de área loteada irregularmente;</w:t>
      </w:r>
    </w:p>
    <w:p w14:paraId="3A33DD2A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Avaliação R$ 850.000,00 (janeiro/2024) – atualização até abril de 2025 (R$908.798,76 – fls.274)</w:t>
      </w:r>
    </w:p>
    <w:p w14:paraId="72B86FE4" w14:textId="71D764B4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 xml:space="preserve">Débito da ação: R$ 500.670,46 (atualizado até abril de 2025 – fls.273) </w:t>
      </w:r>
      <w:r w:rsidRPr="00B35155">
        <w:rPr>
          <w:rFonts w:ascii="Verdana" w:hAnsi="Verdana"/>
        </w:rPr>
        <w:t>Débitos</w:t>
      </w:r>
      <w:r w:rsidRPr="00B35155">
        <w:rPr>
          <w:rFonts w:ascii="Verdana" w:hAnsi="Verdana"/>
        </w:rPr>
        <w:t xml:space="preserve"> tributários: Regular fls.272</w:t>
      </w:r>
    </w:p>
    <w:p w14:paraId="28A983A7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A2C6108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3932EB2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Da Comissão: A comissão do leiloeiro será de 5% sobre o valor da arrematação artigo 7º da Resolução 236/2016 do CNJ, não estando incluída no valor da arrematação e deverá ser pago diretamente ao Leiloeiro Oficial.</w:t>
      </w:r>
    </w:p>
    <w:p w14:paraId="207344BF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lastRenderedPageBreak/>
        <w:t>Da Adjudicação: Condicionada aos termos do art. 876 e 892, § 1° do código de processo civil.</w:t>
      </w:r>
    </w:p>
    <w:p w14:paraId="01212450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Do pagamento: O arrematante terá o prazo de 24 horas para efetuar o pagamento da arrematação e da comissão.</w:t>
      </w:r>
    </w:p>
    <w:p w14:paraId="39347FC2" w14:textId="37C72E6D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Do pagamento parcelado: O interessado em adquirir o bem penhorado em prestações poderá apresentar, por escrito; até o início do primeiro leilão, proposta de aquisição do bem por valor não inferior ao da avaliação; até o início do segundo leilão, proposta de aquisição do bem por valor que não seja considerado vil. A proposta conterá, em qualquer hipótese, oferta de pagamento de pelo menos vinte e cinco por cento do valor do lance à vista e o restante parcelado em até 30 (trinta) meses, garantido por caução idônea, quando se tratar de móveis, e por hipoteca do próprio bem, quando se tratar de imóveis, sendo que a proposta de pagamento do lance à vista sempre</w:t>
      </w:r>
      <w:r>
        <w:rPr>
          <w:rFonts w:ascii="Verdana" w:hAnsi="Verdana"/>
        </w:rPr>
        <w:t xml:space="preserve"> </w:t>
      </w:r>
      <w:r w:rsidRPr="00B35155">
        <w:rPr>
          <w:rFonts w:ascii="Verdana" w:hAnsi="Verdana"/>
        </w:rPr>
        <w:t>prevalecerá sobre as propostas de pagamento parcelado. As propostas para aquisição em prestações indicarão o prazo, a modalidade, o indexador de correção monetária e as condições de pagamento do saldo. No caso de atraso no pagamento de qualquer das prestações, incidirá multa de dez por cento sobre a soma da parcela inadimplida com as parcelas vincendas (art. 895 e seguintes, do Código de Processo Civil).</w:t>
      </w:r>
    </w:p>
    <w:p w14:paraId="2E15F624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B90938E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 xml:space="preserve">Responsabilidade outras: Correrão por conta exclusiva do arrematante as despesas gerais relativas à desmontagem, transporte e transferência patrimonial dos bens arrematados, exceto os que se </w:t>
      </w:r>
      <w:r w:rsidRPr="00B35155">
        <w:rPr>
          <w:rFonts w:ascii="Verdana" w:hAnsi="Verdana"/>
        </w:rPr>
        <w:lastRenderedPageBreak/>
        <w:t>enquadrem no art. 130, § único do CTN e art. 908, § 1° do código de processo civil.</w:t>
      </w:r>
    </w:p>
    <w:p w14:paraId="14796536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O(a)(s) exequente(s), se vier(em) a arrematar o bem(</w:t>
      </w:r>
      <w:proofErr w:type="spellStart"/>
      <w:r w:rsidRPr="00B35155">
        <w:rPr>
          <w:rFonts w:ascii="Verdana" w:hAnsi="Verdana"/>
        </w:rPr>
        <w:t>ns</w:t>
      </w:r>
      <w:proofErr w:type="spellEnd"/>
      <w:r w:rsidRPr="00B35155">
        <w:rPr>
          <w:rFonts w:ascii="Verdana" w:hAnsi="Verdana"/>
        </w:rPr>
        <w:t>), não estará(</w:t>
      </w:r>
      <w:proofErr w:type="spellStart"/>
      <w:r w:rsidRPr="00B35155">
        <w:rPr>
          <w:rFonts w:ascii="Verdana" w:hAnsi="Verdana"/>
        </w:rPr>
        <w:t>ão</w:t>
      </w:r>
      <w:proofErr w:type="spellEnd"/>
      <w:r w:rsidRPr="00B35155">
        <w:rPr>
          <w:rFonts w:ascii="Verdana" w:hAnsi="Verdana"/>
        </w:rPr>
        <w:t>) obrigado(a)(s) a exibir o preço, ou seja, a efetuar o depósito judicial do lanço. Todavia: a) se houver concurso de credores, deverá efetuar o depósito judicial do lanço, nos autos, no prazo de 24 horas, para posterior análise judicial do concurso de credores, sob pena de se declarar sem efeito a arrematação, sendo o bem levado a novo pregão eletrônico, às custas do(a)(s) exequente(s) (parágrafo primeiro do art. 892, do NCPC); b) se o valor oferecido e aceito exceder seu crédito, deverá efetuar o depósito judicial da diferença, em 24 horas, sob pena de se declarar sem efeito a arrematação.</w:t>
      </w:r>
    </w:p>
    <w:p w14:paraId="102C8C0E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Recursos: Dos autos não consta recursos ou causa pendente de julgamento.</w:t>
      </w:r>
    </w:p>
    <w:p w14:paraId="1805BAD9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Da Carta de arrematação: A carta de arrematação será expedida pelo MM. Juiz nos termos dos art. 901 e 903 do código de processo civil. O auto de arrematação somente será assinado pelo juízo, após a comprovação do pagamento integral do valor da arrematação e da comissão do gestor judicial do sistema.</w:t>
      </w:r>
    </w:p>
    <w:p w14:paraId="2EDDCE6E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Havendo, após publicação dos editais dos pregões eletrônicos:</w:t>
      </w:r>
    </w:p>
    <w:p w14:paraId="0E452343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 xml:space="preserve">a) pedido de suspensão dos pregões eletrônicos ou de desistência (art.775 </w:t>
      </w:r>
      <w:proofErr w:type="spellStart"/>
      <w:r w:rsidRPr="00B35155">
        <w:rPr>
          <w:rFonts w:ascii="Verdana" w:hAnsi="Verdana"/>
        </w:rPr>
        <w:t>c.c</w:t>
      </w:r>
      <w:proofErr w:type="spellEnd"/>
      <w:r w:rsidRPr="00B35155">
        <w:rPr>
          <w:rFonts w:ascii="Verdana" w:hAnsi="Verdana"/>
        </w:rPr>
        <w:t xml:space="preserve">. o art711, parágrafo único, ambos do NCPC) da execução/cumprimento do julgado, pelo(a)(s) exequente(s), competirá, a este(a)(s), depositar, nos autos, em guia judicial, os custos do(a) leiloeiro(a), que arbitro em 2,5% do valor da avaliação dos bens constritos, que seriam alienados, por pregão eletrônico. A petição, em que deduzido o pedido, já deverá vir instruída com a guia de </w:t>
      </w:r>
      <w:proofErr w:type="spellStart"/>
      <w:r w:rsidRPr="00B35155">
        <w:rPr>
          <w:rFonts w:ascii="Verdana" w:hAnsi="Verdana"/>
        </w:rPr>
        <w:t>depósitojudicial</w:t>
      </w:r>
      <w:proofErr w:type="spellEnd"/>
      <w:r w:rsidRPr="00B35155">
        <w:rPr>
          <w:rFonts w:ascii="Verdana" w:hAnsi="Verdana"/>
        </w:rPr>
        <w:t xml:space="preserve">; b) remição da execução, pelo(a)(s) executado(a)(s) (art. 826 do NCPC), ou pagamento do débito por terceiro (art. 930 do CC de 2002), competirá, ao requerente, depositar, </w:t>
      </w:r>
      <w:r w:rsidRPr="00B35155">
        <w:rPr>
          <w:rFonts w:ascii="Verdana" w:hAnsi="Verdana"/>
        </w:rPr>
        <w:lastRenderedPageBreak/>
        <w:t>nos autos, em guia judicial distinta do pagamento do crédito e demais ônus processuais, os custos do(a) leiloeiro(a), que arbitro em 2,5% do valor da avaliação dos bens constritos, que seriam alienados, por pregão eletrônico. A petição, em que deduzido o pedido, já deverá vir instruída com a guia de depósito judicial; c) substituição dos bens constritos por dinheiro, pelo(a)(s) executado(a)(s), competirá, a este(a)(s), depositar, nos autos, em guia judicial, os custos do(a) leiloeiro(a), que arbitro em 2,5% do valor da avaliação dos bens constritos, que seriam alienados, por pregão eletrônico. Essa disposição também se aplica ao depositário infiel, hipótese em que o percentual incidirá em relação a(o)(s) bem(</w:t>
      </w:r>
      <w:proofErr w:type="spellStart"/>
      <w:r w:rsidRPr="00B35155">
        <w:rPr>
          <w:rFonts w:ascii="Verdana" w:hAnsi="Verdana"/>
        </w:rPr>
        <w:t>ns</w:t>
      </w:r>
      <w:proofErr w:type="spellEnd"/>
      <w:r w:rsidRPr="00B35155">
        <w:rPr>
          <w:rFonts w:ascii="Verdana" w:hAnsi="Verdana"/>
        </w:rPr>
        <w:t>) sonegado(s). A petição, em que deduzido o pedido, já deverá vir instruída com a guia de depósito judicial;</w:t>
      </w:r>
    </w:p>
    <w:p w14:paraId="0D6677E4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d) composição das partes, competirá, a elas, declinar, na petição de acordo, quem arcará com os custos do(a) leiloeiro(a), que arbitro em 2,5% do valor da avaliação dos bens constritos, que seriam alienados, por pregão eletrônico. Esse valor deverá ser recolhido, em guia de depósito judicial, que deverá instruir a petição de acordo. Na omissão das partes, esses custos do(a)</w:t>
      </w:r>
    </w:p>
    <w:p w14:paraId="2F12224C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 xml:space="preserve"> </w:t>
      </w:r>
    </w:p>
    <w:p w14:paraId="65BA877D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santana2cv@tjsp.jus.br</w:t>
      </w:r>
    </w:p>
    <w:p w14:paraId="3FECA3FF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Horário de Atendimento ao Público: das 13h00min às17h00min</w:t>
      </w:r>
    </w:p>
    <w:p w14:paraId="745C4274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</w:p>
    <w:p w14:paraId="126E4DA9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leiloeiro(a) deverão ser suportados pelo(a)(s) exequente(s).</w:t>
      </w:r>
    </w:p>
    <w:p w14:paraId="2CA60711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Anulada a aquisição já realizada, por qualquer motivo:</w:t>
      </w:r>
    </w:p>
    <w:p w14:paraId="7869D344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 xml:space="preserve">a) sem concorrência de culpa do(a)_leiloeiro(a)/gestor(a) judicial do sistema, é devida, a ele(a), o valor que tiver sido arbitrado, nos autos, a título de comissão do(a) leiloeiro(a). O valor pago, pelo adquirente, a título de comissão, dever-lhe-á ser restituído; b) com concorrência </w:t>
      </w:r>
      <w:r w:rsidRPr="00B35155">
        <w:rPr>
          <w:rFonts w:ascii="Verdana" w:hAnsi="Verdana"/>
        </w:rPr>
        <w:lastRenderedPageBreak/>
        <w:t>de culpa do(a) leiloeiro(a)/gestor(a) judicial do sistema, deverá restituir os valores que tiver recebido, a título de comissão. O valor pago, pelo adquirente, a título de comissão, dever-lhe-á ser Restituído.</w:t>
      </w:r>
    </w:p>
    <w:p w14:paraId="0EDACB78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</w:p>
    <w:p w14:paraId="7ABC867E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Dúvidas e Esclarecimentos: pessoalmente perante o 2º Ofício Cível, ou no escritório do Leiloeira Oficial, Sra. Dagmar C. S. Flores, Avenida Paulista n° 2421, 2° andar, SP - Capital, ou ainda, pelo telefone 11 3965-0000 / Whats App 11 95662-5151, e e-mail: atendimento@leilaobrasil.com.br.</w:t>
      </w:r>
    </w:p>
    <w:p w14:paraId="2D80900D" w14:textId="77777777" w:rsidR="00B35155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São Paulo, 17/04/2025</w:t>
      </w:r>
    </w:p>
    <w:p w14:paraId="5E5C5A19" w14:textId="38231B5D" w:rsidR="00890A30" w:rsidRPr="00B35155" w:rsidRDefault="00B35155" w:rsidP="00B35155">
      <w:pPr>
        <w:spacing w:line="360" w:lineRule="auto"/>
        <w:jc w:val="both"/>
        <w:rPr>
          <w:rFonts w:ascii="Verdana" w:hAnsi="Verdana"/>
        </w:rPr>
      </w:pPr>
      <w:r w:rsidRPr="00B35155">
        <w:rPr>
          <w:rFonts w:ascii="Verdana" w:hAnsi="Verdana"/>
        </w:rPr>
        <w:t>Dúvidas e esclarecimentos: Pessoalmente no Ofício onde tramita o processo, ou com a empresa gestora do leilão eletrônico. Será o presente edital, por extrato, afixado e publicado na forma da lei. NADA MAIS. Dado e passado nesta cidade de São Paulo, aos 09 de junho de 2025.</w:t>
      </w:r>
    </w:p>
    <w:sectPr w:rsidR="00890A30" w:rsidRPr="00B35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55"/>
    <w:rsid w:val="006538C2"/>
    <w:rsid w:val="00890A30"/>
    <w:rsid w:val="00A9382F"/>
    <w:rsid w:val="00B3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1999"/>
  <w15:chartTrackingRefBased/>
  <w15:docId w15:val="{9C7704BB-2B73-4BED-ABA5-B0992B11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5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5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5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5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5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5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5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5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1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51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51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51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51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51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5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5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5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5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5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51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51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51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5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51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5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1855</Words>
  <Characters>10019</Characters>
  <Application>Microsoft Office Word</Application>
  <DocSecurity>0</DocSecurity>
  <Lines>83</Lines>
  <Paragraphs>23</Paragraphs>
  <ScaleCrop>false</ScaleCrop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 FLORES</dc:creator>
  <cp:keywords/>
  <dc:description/>
  <cp:lastModifiedBy>IRANI FLORES</cp:lastModifiedBy>
  <cp:revision>1</cp:revision>
  <dcterms:created xsi:type="dcterms:W3CDTF">2025-06-16T17:57:00Z</dcterms:created>
  <dcterms:modified xsi:type="dcterms:W3CDTF">2025-06-16T18:00:00Z</dcterms:modified>
</cp:coreProperties>
</file>