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2937" w14:textId="1E388853" w:rsidR="008B5371" w:rsidRPr="00190A9C" w:rsidRDefault="00E338B8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6F2488" w:rsidRPr="00190A9C">
        <w:rPr>
          <w:rFonts w:ascii="Verdana" w:hAnsi="Verdana"/>
          <w:sz w:val="24"/>
          <w:szCs w:val="24"/>
        </w:rPr>
        <w:t>Meire Priscila Lyra</w:t>
      </w:r>
      <w:r w:rsidRPr="00190A9C">
        <w:rPr>
          <w:rFonts w:ascii="Verdana" w:hAnsi="Verdana"/>
          <w:sz w:val="24"/>
          <w:szCs w:val="24"/>
        </w:rPr>
        <w:t xml:space="preserve">, bem como </w:t>
      </w:r>
      <w:r w:rsidR="006F2488" w:rsidRPr="00190A9C">
        <w:rPr>
          <w:rFonts w:ascii="Verdana" w:hAnsi="Verdana"/>
          <w:sz w:val="24"/>
          <w:szCs w:val="24"/>
        </w:rPr>
        <w:t xml:space="preserve">seu cônjuge se casada </w:t>
      </w:r>
      <w:r w:rsidR="00CD6D57" w:rsidRPr="00190A9C">
        <w:rPr>
          <w:rFonts w:ascii="Verdana" w:hAnsi="Verdana"/>
          <w:sz w:val="24"/>
          <w:szCs w:val="24"/>
        </w:rPr>
        <w:t>for expedido</w:t>
      </w:r>
      <w:r w:rsidRPr="00190A9C">
        <w:rPr>
          <w:rFonts w:ascii="Verdana" w:hAnsi="Verdana"/>
          <w:sz w:val="24"/>
          <w:szCs w:val="24"/>
        </w:rPr>
        <w:t xml:space="preserve"> nos autos da ação </w:t>
      </w:r>
      <w:r w:rsidR="008C36B9" w:rsidRPr="00190A9C">
        <w:rPr>
          <w:rFonts w:ascii="Verdana" w:hAnsi="Verdana"/>
          <w:sz w:val="24"/>
          <w:szCs w:val="24"/>
        </w:rPr>
        <w:t>em fase de Cumprimento de Sentença</w:t>
      </w:r>
      <w:r w:rsidRPr="00190A9C">
        <w:rPr>
          <w:rFonts w:ascii="Verdana" w:hAnsi="Verdana"/>
          <w:sz w:val="24"/>
          <w:szCs w:val="24"/>
        </w:rPr>
        <w:t xml:space="preserve">, que lhe requer </w:t>
      </w:r>
      <w:r w:rsidR="006F2488" w:rsidRPr="00190A9C">
        <w:rPr>
          <w:rFonts w:ascii="Verdana" w:hAnsi="Verdana"/>
          <w:sz w:val="24"/>
          <w:szCs w:val="24"/>
        </w:rPr>
        <w:t>Gema Imóveis Ltda</w:t>
      </w:r>
      <w:r w:rsidRPr="00190A9C">
        <w:rPr>
          <w:rFonts w:ascii="Verdana" w:hAnsi="Verdana"/>
          <w:sz w:val="24"/>
          <w:szCs w:val="24"/>
        </w:rPr>
        <w:t>.</w:t>
      </w:r>
      <w:r w:rsidR="00C57568" w:rsidRPr="00190A9C">
        <w:rPr>
          <w:rFonts w:ascii="Verdana" w:hAnsi="Verdana"/>
          <w:sz w:val="24"/>
          <w:szCs w:val="24"/>
        </w:rPr>
        <w:t xml:space="preserve"> Processo n</w:t>
      </w:r>
      <w:r w:rsidR="0033459E" w:rsidRPr="00190A9C">
        <w:rPr>
          <w:rFonts w:ascii="Verdana" w:hAnsi="Verdana"/>
          <w:sz w:val="24"/>
          <w:szCs w:val="24"/>
        </w:rPr>
        <w:t>°</w:t>
      </w:r>
      <w:r w:rsidR="00C57568" w:rsidRPr="00190A9C">
        <w:rPr>
          <w:rFonts w:ascii="Verdana" w:hAnsi="Verdana"/>
          <w:sz w:val="24"/>
          <w:szCs w:val="24"/>
        </w:rPr>
        <w:t xml:space="preserve"> </w:t>
      </w:r>
      <w:r w:rsidR="00383D17" w:rsidRPr="00190A9C">
        <w:rPr>
          <w:rFonts w:ascii="Verdana" w:hAnsi="Verdana"/>
          <w:sz w:val="24"/>
          <w:szCs w:val="24"/>
        </w:rPr>
        <w:t>0000449-95.2023.8.26.0698</w:t>
      </w:r>
    </w:p>
    <w:p w14:paraId="5BCC9FFE" w14:textId="75C87A33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O</w:t>
      </w:r>
      <w:r w:rsidR="00570217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>Dr</w:t>
      </w:r>
      <w:r w:rsidR="00570217" w:rsidRPr="00190A9C">
        <w:rPr>
          <w:rFonts w:ascii="Verdana" w:hAnsi="Verdana"/>
          <w:sz w:val="24"/>
          <w:szCs w:val="24"/>
        </w:rPr>
        <w:t>. Vinicius Monerat Toledo Machado</w:t>
      </w:r>
      <w:r w:rsidRPr="00190A9C">
        <w:rPr>
          <w:rFonts w:ascii="Verdana" w:hAnsi="Verdana"/>
          <w:sz w:val="24"/>
          <w:szCs w:val="24"/>
        </w:rPr>
        <w:t xml:space="preserve">, Juiz de Direito da </w:t>
      </w:r>
      <w:r w:rsidR="00206A61" w:rsidRPr="00190A9C">
        <w:rPr>
          <w:rFonts w:ascii="Verdana" w:hAnsi="Verdana"/>
          <w:sz w:val="24"/>
          <w:szCs w:val="24"/>
        </w:rPr>
        <w:t>Vara Única do Foro de Pirangi</w:t>
      </w:r>
      <w:r w:rsidRPr="00190A9C">
        <w:rPr>
          <w:rFonts w:ascii="Verdana" w:hAnsi="Verdana"/>
          <w:sz w:val="24"/>
          <w:szCs w:val="24"/>
        </w:rPr>
        <w:t xml:space="preserve">, do Estado de São Paulo, na forma da lei, </w:t>
      </w:r>
      <w:r w:rsidR="00CD6D57" w:rsidRPr="00190A9C">
        <w:rPr>
          <w:rFonts w:ascii="Verdana" w:hAnsi="Verdana"/>
          <w:sz w:val="24"/>
          <w:szCs w:val="24"/>
        </w:rPr>
        <w:t>etc.</w:t>
      </w:r>
      <w:r w:rsidR="00C91A0C" w:rsidRPr="00190A9C">
        <w:rPr>
          <w:rFonts w:ascii="Verdana" w:hAnsi="Verdana"/>
          <w:sz w:val="24"/>
          <w:szCs w:val="24"/>
        </w:rPr>
        <w:t>…</w:t>
      </w:r>
    </w:p>
    <w:p w14:paraId="5422A94A" w14:textId="57B4B3D6" w:rsidR="008B5371" w:rsidRPr="00190A9C" w:rsidRDefault="00F935E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Faz Saber que 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Leiloeir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Oficial, Sra. Dagmar C. S. Flores, JUCESP 901</w:t>
      </w:r>
      <w:bookmarkStart w:id="0" w:name="_Hlk149298895"/>
      <w:r w:rsidR="00264417" w:rsidRPr="00190A9C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190A9C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190A9C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190A9C">
        <w:rPr>
          <w:rFonts w:ascii="Verdana" w:hAnsi="Verdana"/>
          <w:sz w:val="24"/>
          <w:szCs w:val="24"/>
        </w:rPr>
        <w:t>.</w:t>
      </w:r>
    </w:p>
    <w:p w14:paraId="50C569CD" w14:textId="6181FE8F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Do início e encerramento do Leilão: </w:t>
      </w:r>
      <w:bookmarkStart w:id="1" w:name="_Hlk200986133"/>
      <w:r w:rsidRPr="00190A9C">
        <w:rPr>
          <w:rFonts w:ascii="Verdana" w:hAnsi="Verdana"/>
          <w:sz w:val="24"/>
          <w:szCs w:val="24"/>
        </w:rPr>
        <w:t xml:space="preserve">Início do 1° leilão em </w:t>
      </w:r>
      <w:r w:rsidR="00427DB9">
        <w:rPr>
          <w:rFonts w:ascii="Verdana" w:hAnsi="Verdana"/>
          <w:sz w:val="24"/>
          <w:szCs w:val="24"/>
        </w:rPr>
        <w:t>08/05</w:t>
      </w:r>
      <w:r w:rsidR="008D1B65" w:rsidRPr="00190A9C">
        <w:rPr>
          <w:rFonts w:ascii="Verdana" w:hAnsi="Verdana"/>
          <w:sz w:val="24"/>
          <w:szCs w:val="24"/>
        </w:rPr>
        <w:t>/2026</w:t>
      </w:r>
      <w:r w:rsidR="00E8243B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às </w:t>
      </w:r>
      <w:r w:rsidR="00E8243B" w:rsidRPr="00190A9C">
        <w:rPr>
          <w:rFonts w:ascii="Verdana" w:hAnsi="Verdana"/>
          <w:sz w:val="24"/>
          <w:szCs w:val="24"/>
        </w:rPr>
        <w:t>10:</w:t>
      </w:r>
      <w:r w:rsidR="00427DB9">
        <w:rPr>
          <w:rFonts w:ascii="Verdana" w:hAnsi="Verdana"/>
          <w:sz w:val="24"/>
          <w:szCs w:val="24"/>
        </w:rPr>
        <w:t>30</w:t>
      </w:r>
      <w:r w:rsidR="008D1B65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horas e encerramento do 1° leilão em </w:t>
      </w:r>
      <w:r w:rsidR="00427DB9">
        <w:rPr>
          <w:rFonts w:ascii="Verdana" w:hAnsi="Verdana"/>
          <w:sz w:val="24"/>
          <w:szCs w:val="24"/>
        </w:rPr>
        <w:t>11/05</w:t>
      </w:r>
      <w:r w:rsidR="008D1B65" w:rsidRPr="00190A9C">
        <w:rPr>
          <w:rFonts w:ascii="Verdana" w:hAnsi="Verdana"/>
          <w:sz w:val="24"/>
          <w:szCs w:val="24"/>
        </w:rPr>
        <w:t>/2026</w:t>
      </w:r>
      <w:r w:rsidR="00E8243B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às </w:t>
      </w:r>
      <w:r w:rsidR="00E8243B" w:rsidRPr="00190A9C">
        <w:rPr>
          <w:rFonts w:ascii="Verdana" w:hAnsi="Verdana"/>
          <w:sz w:val="24"/>
          <w:szCs w:val="24"/>
        </w:rPr>
        <w:t>10:</w:t>
      </w:r>
      <w:r w:rsidR="00427DB9">
        <w:rPr>
          <w:rFonts w:ascii="Verdana" w:hAnsi="Verdana"/>
          <w:sz w:val="24"/>
          <w:szCs w:val="24"/>
        </w:rPr>
        <w:t>30</w:t>
      </w:r>
      <w:r w:rsidRPr="00190A9C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</w:t>
      </w:r>
      <w:r w:rsidR="008D1B65" w:rsidRPr="00190A9C">
        <w:rPr>
          <w:rFonts w:ascii="Verdana" w:hAnsi="Verdana"/>
          <w:sz w:val="24"/>
          <w:szCs w:val="24"/>
        </w:rPr>
        <w:t xml:space="preserve"> </w:t>
      </w:r>
      <w:r w:rsidR="00427DB9">
        <w:rPr>
          <w:rFonts w:ascii="Verdana" w:hAnsi="Verdana"/>
          <w:sz w:val="24"/>
          <w:szCs w:val="24"/>
        </w:rPr>
        <w:t>05/06</w:t>
      </w:r>
      <w:r w:rsidR="008D1B65" w:rsidRPr="00190A9C">
        <w:rPr>
          <w:rFonts w:ascii="Verdana" w:hAnsi="Verdana"/>
          <w:sz w:val="24"/>
          <w:szCs w:val="24"/>
        </w:rPr>
        <w:t>/2026</w:t>
      </w:r>
      <w:r w:rsidR="00E8243B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às </w:t>
      </w:r>
      <w:r w:rsidR="00E8243B" w:rsidRPr="00190A9C">
        <w:rPr>
          <w:rFonts w:ascii="Verdana" w:hAnsi="Verdana"/>
          <w:sz w:val="24"/>
          <w:szCs w:val="24"/>
        </w:rPr>
        <w:t>10:</w:t>
      </w:r>
      <w:r w:rsidR="00427DB9">
        <w:rPr>
          <w:rFonts w:ascii="Verdana" w:hAnsi="Verdana"/>
          <w:sz w:val="24"/>
          <w:szCs w:val="24"/>
        </w:rPr>
        <w:t>30</w:t>
      </w:r>
      <w:r w:rsidRPr="00190A9C">
        <w:rPr>
          <w:rFonts w:ascii="Verdana" w:hAnsi="Verdana"/>
          <w:sz w:val="24"/>
          <w:szCs w:val="24"/>
        </w:rPr>
        <w:t xml:space="preserve"> horas</w:t>
      </w:r>
      <w:bookmarkEnd w:id="1"/>
      <w:r w:rsidRPr="00190A9C">
        <w:rPr>
          <w:rFonts w:ascii="Verdana" w:hAnsi="Verdana"/>
          <w:sz w:val="24"/>
          <w:szCs w:val="24"/>
        </w:rPr>
        <w:t xml:space="preserve">, não sendo aceito lances inferiores a </w:t>
      </w:r>
      <w:r w:rsidR="00CD7A0C" w:rsidRPr="00190A9C">
        <w:rPr>
          <w:rFonts w:ascii="Verdana" w:hAnsi="Verdana"/>
          <w:sz w:val="24"/>
          <w:szCs w:val="24"/>
        </w:rPr>
        <w:t>50</w:t>
      </w:r>
      <w:r w:rsidRPr="00190A9C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780F6D09" w14:textId="50B97859" w:rsidR="00135FEC" w:rsidRPr="00190A9C" w:rsidRDefault="00E338B8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Bem</w:t>
      </w:r>
      <w:r w:rsidR="004E5093" w:rsidRPr="00190A9C">
        <w:rPr>
          <w:rFonts w:ascii="Verdana" w:hAnsi="Verdana"/>
          <w:sz w:val="24"/>
          <w:szCs w:val="24"/>
        </w:rPr>
        <w:t>:</w:t>
      </w:r>
      <w:r w:rsidR="00E41F21" w:rsidRPr="00190A9C">
        <w:rPr>
          <w:rFonts w:ascii="Verdana" w:hAnsi="Verdana"/>
          <w:sz w:val="24"/>
          <w:szCs w:val="24"/>
        </w:rPr>
        <w:t xml:space="preserve"> Casa em Pirangi, (</w:t>
      </w:r>
      <w:r w:rsidR="00240702" w:rsidRPr="00190A9C">
        <w:rPr>
          <w:rFonts w:ascii="Verdana" w:hAnsi="Verdana"/>
          <w:sz w:val="24"/>
          <w:szCs w:val="24"/>
        </w:rPr>
        <w:t>direitos pertencente à executada</w:t>
      </w:r>
      <w:r w:rsidR="00E41F21" w:rsidRPr="00190A9C">
        <w:rPr>
          <w:rFonts w:ascii="Verdana" w:hAnsi="Verdana"/>
          <w:sz w:val="24"/>
          <w:szCs w:val="24"/>
        </w:rPr>
        <w:t>),</w:t>
      </w:r>
      <w:r w:rsidR="00240702" w:rsidRPr="00190A9C">
        <w:rPr>
          <w:rFonts w:ascii="Verdana" w:hAnsi="Verdana"/>
          <w:sz w:val="24"/>
          <w:szCs w:val="24"/>
        </w:rPr>
        <w:t xml:space="preserve"> sobre </w:t>
      </w:r>
      <w:r w:rsidR="00E76A8F" w:rsidRPr="00190A9C">
        <w:rPr>
          <w:rFonts w:ascii="Verdana" w:hAnsi="Verdana"/>
          <w:sz w:val="24"/>
          <w:szCs w:val="24"/>
        </w:rPr>
        <w:t xml:space="preserve">a Casa n° 63 e seu respectivo </w:t>
      </w:r>
      <w:r w:rsidR="00CE5ADB" w:rsidRPr="00190A9C">
        <w:rPr>
          <w:rFonts w:ascii="Verdana" w:hAnsi="Verdana"/>
          <w:sz w:val="24"/>
          <w:szCs w:val="24"/>
        </w:rPr>
        <w:t>t</w:t>
      </w:r>
      <w:r w:rsidR="003D3A4D" w:rsidRPr="00190A9C">
        <w:rPr>
          <w:rFonts w:ascii="Verdana" w:hAnsi="Verdana"/>
          <w:sz w:val="24"/>
          <w:szCs w:val="24"/>
        </w:rPr>
        <w:t xml:space="preserve">erreno </w:t>
      </w:r>
      <w:r w:rsidR="00CE5ADB" w:rsidRPr="00190A9C">
        <w:rPr>
          <w:rFonts w:ascii="Verdana" w:hAnsi="Verdana"/>
          <w:sz w:val="24"/>
          <w:szCs w:val="24"/>
        </w:rPr>
        <w:t>situado na Cidade, Distrito e Município de Pirangi/SP, de uso residencial/comercial, consistente do lote n° 25 quadra I, com frente para a Rua “10”</w:t>
      </w:r>
      <w:r w:rsidR="00B14F92" w:rsidRPr="00190A9C">
        <w:rPr>
          <w:rFonts w:ascii="Verdana" w:hAnsi="Verdana"/>
          <w:sz w:val="24"/>
          <w:szCs w:val="24"/>
        </w:rPr>
        <w:t>, com a área de 180</w:t>
      </w:r>
      <w:r w:rsidR="00E41F21" w:rsidRPr="00190A9C">
        <w:rPr>
          <w:rFonts w:ascii="Verdana" w:hAnsi="Verdana"/>
          <w:sz w:val="24"/>
          <w:szCs w:val="24"/>
        </w:rPr>
        <w:t xml:space="preserve"> </w:t>
      </w:r>
      <w:r w:rsidR="00B14F92" w:rsidRPr="00190A9C">
        <w:rPr>
          <w:rFonts w:ascii="Verdana" w:hAnsi="Verdana"/>
          <w:sz w:val="24"/>
          <w:szCs w:val="24"/>
        </w:rPr>
        <w:t>m²</w:t>
      </w:r>
      <w:r w:rsidR="00EE5749" w:rsidRPr="00190A9C">
        <w:rPr>
          <w:rFonts w:ascii="Verdana" w:hAnsi="Verdana"/>
          <w:sz w:val="24"/>
          <w:szCs w:val="24"/>
        </w:rPr>
        <w:t>, medindo 10m de frente para a Rua “10”, 18m do lado esquerdo de quem da Rua “10” olha para o imóvel, confrontando com o lote n° 26, 18m do lado direito, confrontando com o lote n° 24, e 10m nos fundos, confrontando com o lote n</w:t>
      </w:r>
      <w:r w:rsidR="00240702" w:rsidRPr="00190A9C">
        <w:rPr>
          <w:rFonts w:ascii="Verdana" w:hAnsi="Verdana"/>
          <w:sz w:val="24"/>
          <w:szCs w:val="24"/>
        </w:rPr>
        <w:t>° 08, estando este imóvel distante 40m do ponto inicial da linha curva na confluência da Rua 10 com a Rua 05, da quadra completada pela Rua 09, pela Rua 02 e pela Rua 03. Contribuinte: 5.103. Matrícula n° 32.177 do CRI de Monte Alto/SP.</w:t>
      </w:r>
      <w:r w:rsidR="0015247C" w:rsidRPr="00190A9C">
        <w:rPr>
          <w:rFonts w:ascii="Verdana" w:hAnsi="Verdana"/>
          <w:sz w:val="24"/>
          <w:szCs w:val="24"/>
        </w:rPr>
        <w:t xml:space="preserve"> </w:t>
      </w:r>
      <w:r w:rsidR="00135FEC" w:rsidRPr="00190A9C">
        <w:rPr>
          <w:rFonts w:ascii="Verdana" w:hAnsi="Verdana"/>
          <w:sz w:val="24"/>
          <w:szCs w:val="24"/>
        </w:rPr>
        <w:t xml:space="preserve">cumpre </w:t>
      </w:r>
      <w:r w:rsidR="009D6345" w:rsidRPr="00190A9C">
        <w:rPr>
          <w:rFonts w:ascii="Verdana" w:hAnsi="Verdana"/>
          <w:sz w:val="24"/>
          <w:szCs w:val="24"/>
        </w:rPr>
        <w:t>informar que</w:t>
      </w:r>
      <w:r w:rsidR="00135FEC" w:rsidRPr="00190A9C">
        <w:rPr>
          <w:rFonts w:ascii="Verdana" w:hAnsi="Verdana"/>
          <w:sz w:val="24"/>
          <w:szCs w:val="24"/>
        </w:rPr>
        <w:t xml:space="preserve"> há parcelas vencidas e não pagas entre o período de 12.08.2022 a 12.06.2025 no </w:t>
      </w:r>
      <w:r w:rsidR="00135FEC" w:rsidRPr="00190A9C">
        <w:rPr>
          <w:rFonts w:ascii="Verdana" w:hAnsi="Verdana"/>
          <w:sz w:val="24"/>
          <w:szCs w:val="24"/>
        </w:rPr>
        <w:lastRenderedPageBreak/>
        <w:t xml:space="preserve">valor de R$ 56.952,52 (jun/2025). </w:t>
      </w:r>
      <w:r w:rsidR="009D6345" w:rsidRPr="00190A9C">
        <w:rPr>
          <w:rFonts w:ascii="Verdana" w:hAnsi="Verdana"/>
          <w:sz w:val="24"/>
          <w:szCs w:val="24"/>
        </w:rPr>
        <w:t>Exista também</w:t>
      </w:r>
      <w:r w:rsidR="00135FEC" w:rsidRPr="00190A9C">
        <w:rPr>
          <w:rFonts w:ascii="Verdana" w:hAnsi="Verdana"/>
          <w:sz w:val="24"/>
          <w:szCs w:val="24"/>
        </w:rPr>
        <w:t xml:space="preserve"> </w:t>
      </w:r>
      <w:r w:rsidR="009D6345" w:rsidRPr="00190A9C">
        <w:rPr>
          <w:rFonts w:ascii="Verdana" w:hAnsi="Verdana"/>
          <w:sz w:val="24"/>
          <w:szCs w:val="24"/>
        </w:rPr>
        <w:t>a vencer</w:t>
      </w:r>
      <w:r w:rsidR="00135FEC" w:rsidRPr="00190A9C">
        <w:rPr>
          <w:rFonts w:ascii="Verdana" w:hAnsi="Verdana"/>
          <w:sz w:val="24"/>
          <w:szCs w:val="24"/>
        </w:rPr>
        <w:t xml:space="preserve"> 151 parcelas (cento e cinquenta e uma </w:t>
      </w:r>
      <w:r w:rsidR="009D6345" w:rsidRPr="00190A9C">
        <w:rPr>
          <w:rFonts w:ascii="Verdana" w:hAnsi="Verdana"/>
          <w:sz w:val="24"/>
          <w:szCs w:val="24"/>
        </w:rPr>
        <w:t>parcela</w:t>
      </w:r>
      <w:r w:rsidR="00135FEC" w:rsidRPr="00190A9C">
        <w:rPr>
          <w:rFonts w:ascii="Verdana" w:hAnsi="Verdana"/>
          <w:sz w:val="24"/>
          <w:szCs w:val="24"/>
        </w:rPr>
        <w:t xml:space="preserve">), entre a data de 12/06/2022 a 12/06/2038 totalizando o montante </w:t>
      </w:r>
      <w:r w:rsidR="009D6345" w:rsidRPr="00190A9C">
        <w:rPr>
          <w:rFonts w:ascii="Verdana" w:hAnsi="Verdana"/>
          <w:sz w:val="24"/>
          <w:szCs w:val="24"/>
        </w:rPr>
        <w:t>de R</w:t>
      </w:r>
      <w:r w:rsidR="00135FEC" w:rsidRPr="00190A9C">
        <w:rPr>
          <w:rFonts w:ascii="Verdana" w:hAnsi="Verdana"/>
          <w:sz w:val="24"/>
          <w:szCs w:val="24"/>
        </w:rPr>
        <w:t xml:space="preserve">$ 173.953,51. </w:t>
      </w:r>
      <w:r w:rsidR="009D6345" w:rsidRPr="00190A9C">
        <w:rPr>
          <w:rFonts w:ascii="Verdana" w:hAnsi="Verdana"/>
          <w:sz w:val="24"/>
          <w:szCs w:val="24"/>
        </w:rPr>
        <w:t>Débito</w:t>
      </w:r>
      <w:r w:rsidR="00135FEC" w:rsidRPr="00190A9C">
        <w:rPr>
          <w:rFonts w:ascii="Verdana" w:hAnsi="Verdana"/>
          <w:sz w:val="24"/>
          <w:szCs w:val="24"/>
        </w:rPr>
        <w:t xml:space="preserve"> exequendo</w:t>
      </w:r>
      <w:r w:rsidR="00B669C6" w:rsidRPr="00190A9C">
        <w:rPr>
          <w:rFonts w:ascii="Verdana" w:hAnsi="Verdana"/>
          <w:sz w:val="24"/>
          <w:szCs w:val="24"/>
        </w:rPr>
        <w:t xml:space="preserve"> R$ 56.952,52 </w:t>
      </w:r>
      <w:r w:rsidR="00135FEC" w:rsidRPr="00190A9C">
        <w:rPr>
          <w:rFonts w:ascii="Verdana" w:hAnsi="Verdana"/>
          <w:sz w:val="24"/>
          <w:szCs w:val="24"/>
        </w:rPr>
        <w:t>(junho de 2025)</w:t>
      </w:r>
    </w:p>
    <w:p w14:paraId="7E0142DE" w14:textId="37EEF157" w:rsidR="00721AF5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Avaliação </w:t>
      </w:r>
      <w:r w:rsidR="00B669C6" w:rsidRPr="00190A9C">
        <w:rPr>
          <w:rFonts w:ascii="Verdana" w:hAnsi="Verdana"/>
          <w:sz w:val="24"/>
          <w:szCs w:val="24"/>
        </w:rPr>
        <w:t>(referente</w:t>
      </w:r>
      <w:r w:rsidR="002C034D" w:rsidRPr="00190A9C">
        <w:rPr>
          <w:rFonts w:ascii="Verdana" w:hAnsi="Verdana"/>
          <w:sz w:val="24"/>
          <w:szCs w:val="24"/>
        </w:rPr>
        <w:t xml:space="preserve"> aos direitos) </w:t>
      </w:r>
      <w:r w:rsidR="0015247C" w:rsidRPr="00190A9C">
        <w:rPr>
          <w:rFonts w:ascii="Verdana" w:hAnsi="Verdana"/>
          <w:sz w:val="24"/>
          <w:szCs w:val="24"/>
        </w:rPr>
        <w:t xml:space="preserve">R$ 34.875,15 </w:t>
      </w:r>
      <w:r w:rsidRPr="00190A9C">
        <w:rPr>
          <w:rFonts w:ascii="Verdana" w:hAnsi="Verdana"/>
          <w:sz w:val="24"/>
          <w:szCs w:val="24"/>
        </w:rPr>
        <w:t>(</w:t>
      </w:r>
      <w:r w:rsidR="00E8243B" w:rsidRPr="00190A9C">
        <w:rPr>
          <w:rFonts w:ascii="Verdana" w:hAnsi="Verdana"/>
          <w:sz w:val="24"/>
          <w:szCs w:val="24"/>
        </w:rPr>
        <w:t>novembro</w:t>
      </w:r>
      <w:r w:rsidRPr="00190A9C">
        <w:rPr>
          <w:rFonts w:ascii="Verdana" w:hAnsi="Verdana"/>
          <w:sz w:val="24"/>
          <w:szCs w:val="24"/>
        </w:rPr>
        <w:t>/</w:t>
      </w:r>
      <w:r w:rsidR="00E8243B" w:rsidRPr="00190A9C">
        <w:rPr>
          <w:rFonts w:ascii="Verdana" w:hAnsi="Verdana"/>
          <w:sz w:val="24"/>
          <w:szCs w:val="24"/>
        </w:rPr>
        <w:t>2024</w:t>
      </w:r>
      <w:r w:rsidRPr="00190A9C">
        <w:rPr>
          <w:rFonts w:ascii="Verdana" w:hAnsi="Verdana"/>
          <w:sz w:val="24"/>
          <w:szCs w:val="24"/>
        </w:rPr>
        <w:t>).</w:t>
      </w:r>
      <w:r w:rsidR="00721AF5" w:rsidRPr="00190A9C">
        <w:rPr>
          <w:rFonts w:ascii="Verdana" w:hAnsi="Verdana"/>
          <w:sz w:val="24"/>
          <w:szCs w:val="24"/>
        </w:rPr>
        <w:t xml:space="preserve">   </w:t>
      </w:r>
    </w:p>
    <w:p w14:paraId="717D53F8" w14:textId="77777777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40"/>
      <w:r w:rsidRPr="00190A9C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00B5796" w14:textId="7777777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7E2C177D" w14:textId="5435D00C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190A9C">
        <w:rPr>
          <w:rFonts w:ascii="Verdana" w:hAnsi="Verdana"/>
          <w:sz w:val="24"/>
          <w:szCs w:val="24"/>
        </w:rPr>
        <w:t xml:space="preserve"> </w:t>
      </w:r>
      <w:bookmarkEnd w:id="2"/>
      <w:r w:rsidR="00E76A8F" w:rsidRPr="00190A9C">
        <w:rPr>
          <w:rFonts w:ascii="Verdana" w:hAnsi="Verdana"/>
          <w:sz w:val="24"/>
          <w:szCs w:val="24"/>
        </w:rPr>
        <w:t>paga diretamente à Leiloeira Oficial</w:t>
      </w:r>
      <w:r w:rsidR="00207209" w:rsidRPr="00190A9C">
        <w:rPr>
          <w:rFonts w:ascii="Verdana" w:hAnsi="Verdana"/>
          <w:sz w:val="24"/>
          <w:szCs w:val="24"/>
        </w:rPr>
        <w:t>.</w:t>
      </w:r>
    </w:p>
    <w:p w14:paraId="7C8E1C4E" w14:textId="31AEA170" w:rsidR="008B5371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70"/>
      <w:r w:rsidRPr="00190A9C">
        <w:rPr>
          <w:rFonts w:ascii="Verdana" w:hAnsi="Verdana"/>
          <w:sz w:val="24"/>
          <w:szCs w:val="24"/>
        </w:rPr>
        <w:t>Da Adjudicação: Condicionada aos termos do art. 876 e 892, §</w:t>
      </w:r>
      <w:r w:rsidR="009D6345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1° do </w:t>
      </w:r>
      <w:r w:rsidR="009D6345" w:rsidRPr="00190A9C">
        <w:rPr>
          <w:rFonts w:ascii="Verdana" w:hAnsi="Verdana"/>
          <w:sz w:val="24"/>
          <w:szCs w:val="24"/>
        </w:rPr>
        <w:t>código de processo civil.</w:t>
      </w:r>
    </w:p>
    <w:p w14:paraId="72E0CCF3" w14:textId="77777777" w:rsidR="008B5371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52386C8" w14:textId="77777777" w:rsidR="006474D0" w:rsidRPr="00190A9C" w:rsidRDefault="006474D0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83"/>
      <w:bookmarkEnd w:id="3"/>
      <w:r w:rsidRPr="00190A9C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das parcelas mensais deverão ser geradas pelo próprio arrematante </w:t>
      </w:r>
      <w:r w:rsidRPr="00190A9C">
        <w:rPr>
          <w:rFonts w:ascii="Verdana" w:hAnsi="Verdana"/>
          <w:sz w:val="24"/>
          <w:szCs w:val="24"/>
        </w:rPr>
        <w:lastRenderedPageBreak/>
        <w:t>diretamente no site do Tribunal; deverá também o interessado atentar para o disposto nos demais parágrafos do artigo 895 quanto ao valor da parcela, das garantias,</w:t>
      </w:r>
      <w:r w:rsidR="0014445F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2EF66DEA" w14:textId="7777777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3EE379E2" w14:textId="3B9ED2F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135FEC" w:rsidRPr="00190A9C">
        <w:rPr>
          <w:rFonts w:ascii="Verdana" w:hAnsi="Verdana"/>
          <w:sz w:val="24"/>
          <w:szCs w:val="24"/>
        </w:rPr>
        <w:t>código de processo civil.</w:t>
      </w:r>
    </w:p>
    <w:p w14:paraId="37C79EB4" w14:textId="7777777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02043CC" w14:textId="3F15BCBE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art. 901 e 903 do </w:t>
      </w:r>
      <w:r w:rsidR="00135FEC" w:rsidRPr="00190A9C">
        <w:rPr>
          <w:rFonts w:ascii="Verdana" w:hAnsi="Verdana"/>
          <w:sz w:val="24"/>
          <w:szCs w:val="24"/>
        </w:rPr>
        <w:t>código de processo civil.</w:t>
      </w:r>
    </w:p>
    <w:p w14:paraId="70D5ABDE" w14:textId="3A024DC0" w:rsidR="00402415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Dúvidas e Esclarecimentos: pessoalmente perante o </w:t>
      </w:r>
      <w:bookmarkStart w:id="5" w:name="_Hlk149298997"/>
      <w:bookmarkEnd w:id="4"/>
      <w:r w:rsidRPr="00190A9C">
        <w:rPr>
          <w:rFonts w:ascii="Verdana" w:hAnsi="Verdana"/>
          <w:sz w:val="24"/>
          <w:szCs w:val="24"/>
        </w:rPr>
        <w:t>Ofício Cível, ou no escritório d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</w:t>
      </w:r>
      <w:r w:rsidR="00F935E1" w:rsidRPr="00190A9C">
        <w:rPr>
          <w:rFonts w:ascii="Verdana" w:hAnsi="Verdana"/>
          <w:sz w:val="24"/>
          <w:szCs w:val="24"/>
        </w:rPr>
        <w:t>L</w:t>
      </w:r>
      <w:r w:rsidRPr="00190A9C">
        <w:rPr>
          <w:rFonts w:ascii="Verdana" w:hAnsi="Verdana"/>
          <w:sz w:val="24"/>
          <w:szCs w:val="24"/>
        </w:rPr>
        <w:t>eiloeir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</w:t>
      </w:r>
      <w:r w:rsidR="00F935E1" w:rsidRPr="00190A9C">
        <w:rPr>
          <w:rFonts w:ascii="Verdana" w:hAnsi="Verdana"/>
          <w:sz w:val="24"/>
          <w:szCs w:val="24"/>
        </w:rPr>
        <w:t>O</w:t>
      </w:r>
      <w:r w:rsidRPr="00190A9C">
        <w:rPr>
          <w:rFonts w:ascii="Verdana" w:hAnsi="Verdana"/>
          <w:sz w:val="24"/>
          <w:szCs w:val="24"/>
        </w:rPr>
        <w:t xml:space="preserve">ficial, </w:t>
      </w:r>
      <w:r w:rsidR="00207209" w:rsidRPr="00190A9C">
        <w:rPr>
          <w:rFonts w:ascii="Verdana" w:hAnsi="Verdana"/>
          <w:sz w:val="24"/>
          <w:szCs w:val="24"/>
        </w:rPr>
        <w:t>Avenida Paulista n° 2421, 2° andar, SP - Capi</w:t>
      </w:r>
      <w:r w:rsidRPr="00190A9C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190A9C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190A9C">
        <w:rPr>
          <w:rFonts w:ascii="Verdana" w:hAnsi="Verdana"/>
          <w:sz w:val="24"/>
          <w:szCs w:val="24"/>
        </w:rPr>
        <w:t>.</w:t>
      </w:r>
    </w:p>
    <w:p w14:paraId="502F5DC8" w14:textId="4B60CACF" w:rsidR="00CC129A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190A9C">
        <w:rPr>
          <w:rFonts w:ascii="Verdana" w:hAnsi="Verdana"/>
          <w:sz w:val="24"/>
          <w:szCs w:val="24"/>
        </w:rPr>
        <w:t>.</w:t>
      </w:r>
      <w:bookmarkEnd w:id="5"/>
      <w:r w:rsidR="008B5371" w:rsidRPr="00190A9C">
        <w:rPr>
          <w:rFonts w:ascii="Verdana" w:hAnsi="Verdana"/>
          <w:sz w:val="24"/>
          <w:szCs w:val="24"/>
        </w:rPr>
        <w:t xml:space="preserve"> </w:t>
      </w:r>
      <w:r w:rsidR="003D3A4D" w:rsidRPr="00190A9C">
        <w:rPr>
          <w:rFonts w:ascii="Verdana" w:hAnsi="Verdana"/>
          <w:sz w:val="24"/>
          <w:szCs w:val="24"/>
        </w:rPr>
        <w:t>Pirangi</w:t>
      </w:r>
      <w:r w:rsidR="008B5371" w:rsidRPr="00190A9C">
        <w:rPr>
          <w:rFonts w:ascii="Verdana" w:hAnsi="Verdana"/>
          <w:sz w:val="24"/>
          <w:szCs w:val="24"/>
        </w:rPr>
        <w:t xml:space="preserve">, </w:t>
      </w:r>
      <w:r w:rsidR="003D3A4D" w:rsidRPr="00190A9C">
        <w:rPr>
          <w:rFonts w:ascii="Verdana" w:hAnsi="Verdana"/>
          <w:sz w:val="24"/>
          <w:szCs w:val="24"/>
        </w:rPr>
        <w:t>13</w:t>
      </w:r>
      <w:r w:rsidR="008B5371" w:rsidRPr="00190A9C">
        <w:rPr>
          <w:rFonts w:ascii="Verdana" w:hAnsi="Verdana"/>
          <w:sz w:val="24"/>
          <w:szCs w:val="24"/>
        </w:rPr>
        <w:t>/</w:t>
      </w:r>
      <w:r w:rsidR="003D3A4D" w:rsidRPr="00190A9C">
        <w:rPr>
          <w:rFonts w:ascii="Verdana" w:hAnsi="Verdana"/>
          <w:sz w:val="24"/>
          <w:szCs w:val="24"/>
        </w:rPr>
        <w:t>06</w:t>
      </w:r>
      <w:r w:rsidR="008B5371" w:rsidRPr="00190A9C">
        <w:rPr>
          <w:rFonts w:ascii="Verdana" w:hAnsi="Verdana"/>
          <w:sz w:val="24"/>
          <w:szCs w:val="24"/>
        </w:rPr>
        <w:t>/202</w:t>
      </w:r>
      <w:r w:rsidR="00A31008" w:rsidRPr="00190A9C">
        <w:rPr>
          <w:rFonts w:ascii="Verdana" w:hAnsi="Verdana"/>
          <w:sz w:val="24"/>
          <w:szCs w:val="24"/>
        </w:rPr>
        <w:t>5</w:t>
      </w:r>
    </w:p>
    <w:sectPr w:rsidR="00CC129A" w:rsidRPr="00190A9C" w:rsidSect="00EF261A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17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35FEC"/>
    <w:rsid w:val="0014277F"/>
    <w:rsid w:val="0014445F"/>
    <w:rsid w:val="0015182F"/>
    <w:rsid w:val="0015247C"/>
    <w:rsid w:val="00183926"/>
    <w:rsid w:val="0018550B"/>
    <w:rsid w:val="00190A9C"/>
    <w:rsid w:val="00200C9D"/>
    <w:rsid w:val="00206A61"/>
    <w:rsid w:val="00207209"/>
    <w:rsid w:val="00240702"/>
    <w:rsid w:val="002627D5"/>
    <w:rsid w:val="00264417"/>
    <w:rsid w:val="002C034D"/>
    <w:rsid w:val="00313825"/>
    <w:rsid w:val="00320D62"/>
    <w:rsid w:val="00321222"/>
    <w:rsid w:val="00330AF6"/>
    <w:rsid w:val="0033459E"/>
    <w:rsid w:val="003506FF"/>
    <w:rsid w:val="00383D17"/>
    <w:rsid w:val="003A0F2A"/>
    <w:rsid w:val="003B1E7F"/>
    <w:rsid w:val="003D3A4D"/>
    <w:rsid w:val="003E019A"/>
    <w:rsid w:val="003F3E6A"/>
    <w:rsid w:val="00402415"/>
    <w:rsid w:val="00420C58"/>
    <w:rsid w:val="00427DB9"/>
    <w:rsid w:val="004743AB"/>
    <w:rsid w:val="004960BB"/>
    <w:rsid w:val="004E5093"/>
    <w:rsid w:val="00554D69"/>
    <w:rsid w:val="005604E1"/>
    <w:rsid w:val="00570217"/>
    <w:rsid w:val="00573F47"/>
    <w:rsid w:val="005D7A22"/>
    <w:rsid w:val="006474D0"/>
    <w:rsid w:val="006A1EED"/>
    <w:rsid w:val="006B6A93"/>
    <w:rsid w:val="006E6771"/>
    <w:rsid w:val="006F2488"/>
    <w:rsid w:val="007043B6"/>
    <w:rsid w:val="00712885"/>
    <w:rsid w:val="00721AF5"/>
    <w:rsid w:val="007304BD"/>
    <w:rsid w:val="00750B0D"/>
    <w:rsid w:val="0079603B"/>
    <w:rsid w:val="00857C74"/>
    <w:rsid w:val="008826FF"/>
    <w:rsid w:val="008A7691"/>
    <w:rsid w:val="008B5371"/>
    <w:rsid w:val="008C36B9"/>
    <w:rsid w:val="008D1B65"/>
    <w:rsid w:val="008D6965"/>
    <w:rsid w:val="009370C1"/>
    <w:rsid w:val="009653F9"/>
    <w:rsid w:val="00986822"/>
    <w:rsid w:val="009B6ADB"/>
    <w:rsid w:val="009C1D36"/>
    <w:rsid w:val="009D6345"/>
    <w:rsid w:val="009D70E3"/>
    <w:rsid w:val="009E5B7A"/>
    <w:rsid w:val="00A31008"/>
    <w:rsid w:val="00A31C8D"/>
    <w:rsid w:val="00A73BEF"/>
    <w:rsid w:val="00AE4094"/>
    <w:rsid w:val="00B1267A"/>
    <w:rsid w:val="00B14F92"/>
    <w:rsid w:val="00B22150"/>
    <w:rsid w:val="00B3171C"/>
    <w:rsid w:val="00B669C6"/>
    <w:rsid w:val="00B72203"/>
    <w:rsid w:val="00BB5794"/>
    <w:rsid w:val="00BE1CC8"/>
    <w:rsid w:val="00C359A3"/>
    <w:rsid w:val="00C57568"/>
    <w:rsid w:val="00C57686"/>
    <w:rsid w:val="00C610F9"/>
    <w:rsid w:val="00C85D87"/>
    <w:rsid w:val="00C91A0C"/>
    <w:rsid w:val="00CC129A"/>
    <w:rsid w:val="00CD6D57"/>
    <w:rsid w:val="00CD7A0C"/>
    <w:rsid w:val="00CE5ADB"/>
    <w:rsid w:val="00D34496"/>
    <w:rsid w:val="00D730D7"/>
    <w:rsid w:val="00DD2D6A"/>
    <w:rsid w:val="00DD6759"/>
    <w:rsid w:val="00DE0C7F"/>
    <w:rsid w:val="00E04AAF"/>
    <w:rsid w:val="00E338B8"/>
    <w:rsid w:val="00E41F21"/>
    <w:rsid w:val="00E4729A"/>
    <w:rsid w:val="00E5473E"/>
    <w:rsid w:val="00E67309"/>
    <w:rsid w:val="00E76A8F"/>
    <w:rsid w:val="00E8243B"/>
    <w:rsid w:val="00EB0730"/>
    <w:rsid w:val="00EB226A"/>
    <w:rsid w:val="00EE5749"/>
    <w:rsid w:val="00EF261A"/>
    <w:rsid w:val="00EF5B75"/>
    <w:rsid w:val="00F00951"/>
    <w:rsid w:val="00F26DCB"/>
    <w:rsid w:val="00F76BA5"/>
    <w:rsid w:val="00F87CAC"/>
    <w:rsid w:val="00F935E1"/>
    <w:rsid w:val="00FA53DF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8BB7"/>
  <w15:chartTrackingRefBased/>
  <w15:docId w15:val="{B4AD90A0-6670-44FA-85C5-547CFA34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2026-03-16T13:53:00Z</dcterms:created>
  <dcterms:modified xsi:type="dcterms:W3CDTF">2026-03-16T13:53:00Z</dcterms:modified>
</cp:coreProperties>
</file>