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21498" w14:textId="1A4E0BD6" w:rsidR="008B5371" w:rsidRPr="00DF689E" w:rsidRDefault="00E338B8" w:rsidP="00DF689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F689E">
        <w:rPr>
          <w:rFonts w:ascii="Verdana" w:hAnsi="Verdana"/>
          <w:sz w:val="24"/>
          <w:szCs w:val="24"/>
        </w:rPr>
        <w:t>Edital de 1° e 2° leilão d</w:t>
      </w:r>
      <w:r w:rsidR="00FA3379" w:rsidRPr="00DF689E">
        <w:rPr>
          <w:rFonts w:ascii="Verdana" w:hAnsi="Verdana"/>
          <w:sz w:val="24"/>
          <w:szCs w:val="24"/>
        </w:rPr>
        <w:t>os direitos sobr</w:t>
      </w:r>
      <w:r w:rsidRPr="00DF689E">
        <w:rPr>
          <w:rFonts w:ascii="Verdana" w:hAnsi="Verdana"/>
          <w:sz w:val="24"/>
          <w:szCs w:val="24"/>
        </w:rPr>
        <w:t>e be</w:t>
      </w:r>
      <w:r w:rsidR="006E6390" w:rsidRPr="00DF689E">
        <w:rPr>
          <w:rFonts w:ascii="Verdana" w:hAnsi="Verdana"/>
          <w:sz w:val="24"/>
          <w:szCs w:val="24"/>
        </w:rPr>
        <w:t xml:space="preserve">ns </w:t>
      </w:r>
      <w:r w:rsidRPr="00DF689E">
        <w:rPr>
          <w:rFonts w:ascii="Verdana" w:hAnsi="Verdana"/>
          <w:sz w:val="24"/>
          <w:szCs w:val="24"/>
        </w:rPr>
        <w:t>imóve</w:t>
      </w:r>
      <w:r w:rsidR="006E6390" w:rsidRPr="00DF689E">
        <w:rPr>
          <w:rFonts w:ascii="Verdana" w:hAnsi="Verdana"/>
          <w:sz w:val="24"/>
          <w:szCs w:val="24"/>
        </w:rPr>
        <w:t>is</w:t>
      </w:r>
      <w:r w:rsidRPr="00DF689E">
        <w:rPr>
          <w:rFonts w:ascii="Verdana" w:hAnsi="Verdana"/>
          <w:sz w:val="24"/>
          <w:szCs w:val="24"/>
        </w:rPr>
        <w:t xml:space="preserve"> e para intimação de </w:t>
      </w:r>
      <w:r w:rsidR="00334A6F" w:rsidRPr="00DF689E">
        <w:rPr>
          <w:rFonts w:ascii="Verdana" w:hAnsi="Verdana"/>
          <w:sz w:val="24"/>
          <w:szCs w:val="24"/>
        </w:rPr>
        <w:t xml:space="preserve">Sergio Massao </w:t>
      </w:r>
      <w:proofErr w:type="spellStart"/>
      <w:r w:rsidR="00334A6F" w:rsidRPr="00DF689E">
        <w:rPr>
          <w:rFonts w:ascii="Verdana" w:hAnsi="Verdana"/>
          <w:sz w:val="24"/>
          <w:szCs w:val="24"/>
        </w:rPr>
        <w:t>Koti</w:t>
      </w:r>
      <w:proofErr w:type="spellEnd"/>
      <w:r w:rsidR="00334A6F" w:rsidRPr="00DF689E">
        <w:rPr>
          <w:rFonts w:ascii="Verdana" w:hAnsi="Verdana"/>
          <w:sz w:val="24"/>
          <w:szCs w:val="24"/>
        </w:rPr>
        <w:t xml:space="preserve"> e Marcia Regina Miner Canedo </w:t>
      </w:r>
      <w:proofErr w:type="spellStart"/>
      <w:r w:rsidR="00334A6F" w:rsidRPr="00DF689E">
        <w:rPr>
          <w:rFonts w:ascii="Verdana" w:hAnsi="Verdana"/>
          <w:sz w:val="24"/>
          <w:szCs w:val="24"/>
        </w:rPr>
        <w:t>Koti</w:t>
      </w:r>
      <w:proofErr w:type="spellEnd"/>
      <w:r w:rsidRPr="00DF689E">
        <w:rPr>
          <w:rFonts w:ascii="Verdana" w:hAnsi="Verdana"/>
          <w:sz w:val="24"/>
          <w:szCs w:val="24"/>
        </w:rPr>
        <w:t xml:space="preserve">, bem como </w:t>
      </w:r>
      <w:r w:rsidR="006E6390" w:rsidRPr="00DF689E">
        <w:rPr>
          <w:rFonts w:ascii="Verdana" w:hAnsi="Verdana"/>
          <w:sz w:val="24"/>
          <w:szCs w:val="24"/>
        </w:rPr>
        <w:t xml:space="preserve">da promitente vendedora </w:t>
      </w:r>
      <w:proofErr w:type="spellStart"/>
      <w:r w:rsidR="006E6390" w:rsidRPr="00DF689E">
        <w:rPr>
          <w:rFonts w:ascii="Verdana" w:hAnsi="Verdana"/>
          <w:sz w:val="24"/>
          <w:szCs w:val="24"/>
        </w:rPr>
        <w:t>Contersil</w:t>
      </w:r>
      <w:proofErr w:type="spellEnd"/>
      <w:r w:rsidR="006E6390" w:rsidRPr="00DF689E">
        <w:rPr>
          <w:rFonts w:ascii="Verdana" w:hAnsi="Verdana"/>
          <w:sz w:val="24"/>
          <w:szCs w:val="24"/>
        </w:rPr>
        <w:t xml:space="preserve"> S/A Administração de Bens Imóveis</w:t>
      </w:r>
      <w:r w:rsidRPr="00DF689E">
        <w:rPr>
          <w:rFonts w:ascii="Verdana" w:hAnsi="Verdana"/>
          <w:sz w:val="24"/>
          <w:szCs w:val="24"/>
        </w:rPr>
        <w:t xml:space="preserve">, expedido nos autos da </w:t>
      </w:r>
      <w:r w:rsidR="00334A6F" w:rsidRPr="00DF689E">
        <w:rPr>
          <w:rFonts w:ascii="Verdana" w:hAnsi="Verdana"/>
          <w:sz w:val="24"/>
          <w:szCs w:val="24"/>
        </w:rPr>
        <w:t>Carta Precatória Cível</w:t>
      </w:r>
      <w:r w:rsidRPr="00DF689E">
        <w:rPr>
          <w:rFonts w:ascii="Verdana" w:hAnsi="Verdana"/>
          <w:sz w:val="24"/>
          <w:szCs w:val="24"/>
        </w:rPr>
        <w:t xml:space="preserve">, que lhe requer </w:t>
      </w:r>
      <w:r w:rsidR="00334A6F" w:rsidRPr="00DF689E">
        <w:rPr>
          <w:rFonts w:ascii="Verdana" w:hAnsi="Verdana"/>
          <w:sz w:val="24"/>
          <w:szCs w:val="24"/>
        </w:rPr>
        <w:t>Associação dos Proprietários Em Residencial Porto Atibaia</w:t>
      </w:r>
      <w:r w:rsidRPr="00DF689E">
        <w:rPr>
          <w:rFonts w:ascii="Verdana" w:hAnsi="Verdana"/>
          <w:sz w:val="24"/>
          <w:szCs w:val="24"/>
        </w:rPr>
        <w:t>.</w:t>
      </w:r>
      <w:r w:rsidR="00C57568" w:rsidRPr="00DF689E">
        <w:rPr>
          <w:rFonts w:ascii="Verdana" w:hAnsi="Verdana"/>
          <w:sz w:val="24"/>
          <w:szCs w:val="24"/>
        </w:rPr>
        <w:t xml:space="preserve"> Processo n</w:t>
      </w:r>
      <w:r w:rsidR="0033459E" w:rsidRPr="00DF689E">
        <w:rPr>
          <w:rFonts w:ascii="Verdana" w:hAnsi="Verdana"/>
          <w:sz w:val="24"/>
          <w:szCs w:val="24"/>
        </w:rPr>
        <w:t>°</w:t>
      </w:r>
      <w:r w:rsidR="00C57568" w:rsidRPr="00DF689E">
        <w:rPr>
          <w:rFonts w:ascii="Verdana" w:hAnsi="Verdana"/>
          <w:sz w:val="24"/>
          <w:szCs w:val="24"/>
        </w:rPr>
        <w:t xml:space="preserve"> </w:t>
      </w:r>
      <w:r w:rsidR="008816E0" w:rsidRPr="00DF689E">
        <w:rPr>
          <w:rFonts w:ascii="Verdana" w:hAnsi="Verdana"/>
          <w:sz w:val="24"/>
          <w:szCs w:val="24"/>
        </w:rPr>
        <w:t>1007413-97.2023.8.26.0048</w:t>
      </w:r>
    </w:p>
    <w:p w14:paraId="46216EC7" w14:textId="3F28D6CD" w:rsidR="008B5371" w:rsidRPr="00DF689E" w:rsidRDefault="00B3171C" w:rsidP="00DF689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F689E">
        <w:rPr>
          <w:rFonts w:ascii="Verdana" w:hAnsi="Verdana"/>
          <w:sz w:val="24"/>
          <w:szCs w:val="24"/>
        </w:rPr>
        <w:t>A Dr</w:t>
      </w:r>
      <w:r w:rsidR="00334A6F" w:rsidRPr="00DF689E">
        <w:rPr>
          <w:rFonts w:ascii="Verdana" w:hAnsi="Verdana"/>
          <w:sz w:val="24"/>
          <w:szCs w:val="24"/>
        </w:rPr>
        <w:t>a</w:t>
      </w:r>
      <w:r w:rsidRPr="00DF689E">
        <w:rPr>
          <w:rFonts w:ascii="Verdana" w:hAnsi="Verdana"/>
          <w:sz w:val="24"/>
          <w:szCs w:val="24"/>
        </w:rPr>
        <w:t>.</w:t>
      </w:r>
      <w:r w:rsidR="00334A6F" w:rsidRPr="00DF689E">
        <w:rPr>
          <w:rFonts w:ascii="Verdana" w:hAnsi="Verdana"/>
          <w:sz w:val="24"/>
          <w:szCs w:val="24"/>
        </w:rPr>
        <w:t xml:space="preserve"> Adriana da Silva Frias Pereira</w:t>
      </w:r>
      <w:r w:rsidRPr="00DF689E">
        <w:rPr>
          <w:rFonts w:ascii="Verdana" w:hAnsi="Verdana"/>
          <w:sz w:val="24"/>
          <w:szCs w:val="24"/>
        </w:rPr>
        <w:t xml:space="preserve">, </w:t>
      </w:r>
      <w:r w:rsidR="00334A6F" w:rsidRPr="00DF689E">
        <w:rPr>
          <w:rFonts w:ascii="Verdana" w:hAnsi="Verdana"/>
          <w:sz w:val="24"/>
          <w:szCs w:val="24"/>
        </w:rPr>
        <w:t>Juí</w:t>
      </w:r>
      <w:r w:rsidRPr="00DF689E">
        <w:rPr>
          <w:rFonts w:ascii="Verdana" w:hAnsi="Verdana"/>
          <w:sz w:val="24"/>
          <w:szCs w:val="24"/>
        </w:rPr>
        <w:t>z</w:t>
      </w:r>
      <w:r w:rsidR="00334A6F" w:rsidRPr="00DF689E">
        <w:rPr>
          <w:rFonts w:ascii="Verdana" w:hAnsi="Verdana"/>
          <w:sz w:val="24"/>
          <w:szCs w:val="24"/>
        </w:rPr>
        <w:t>a</w:t>
      </w:r>
      <w:r w:rsidRPr="00DF689E">
        <w:rPr>
          <w:rFonts w:ascii="Verdana" w:hAnsi="Verdana"/>
          <w:sz w:val="24"/>
          <w:szCs w:val="24"/>
        </w:rPr>
        <w:t xml:space="preserve"> de Direito da </w:t>
      </w:r>
      <w:r w:rsidR="00334A6F" w:rsidRPr="00DF689E">
        <w:rPr>
          <w:rFonts w:ascii="Verdana" w:hAnsi="Verdana"/>
          <w:sz w:val="24"/>
          <w:szCs w:val="24"/>
        </w:rPr>
        <w:t>1ª Vara Cível do Foro de Atibaia</w:t>
      </w:r>
      <w:r w:rsidRPr="00DF689E">
        <w:rPr>
          <w:rFonts w:ascii="Verdana" w:hAnsi="Verdana"/>
          <w:sz w:val="24"/>
          <w:szCs w:val="24"/>
        </w:rPr>
        <w:t xml:space="preserve">, do Estado de São Paulo, na forma da lei, </w:t>
      </w:r>
      <w:proofErr w:type="spellStart"/>
      <w:r w:rsidRPr="00DF689E">
        <w:rPr>
          <w:rFonts w:ascii="Verdana" w:hAnsi="Verdana"/>
          <w:sz w:val="24"/>
          <w:szCs w:val="24"/>
        </w:rPr>
        <w:t>etc</w:t>
      </w:r>
      <w:proofErr w:type="spellEnd"/>
      <w:r w:rsidR="00C91A0C" w:rsidRPr="00DF689E">
        <w:rPr>
          <w:rFonts w:ascii="Verdana" w:hAnsi="Verdana"/>
          <w:sz w:val="24"/>
          <w:szCs w:val="24"/>
        </w:rPr>
        <w:t>…</w:t>
      </w:r>
    </w:p>
    <w:p w14:paraId="0BA3AF3F" w14:textId="77777777" w:rsidR="008B5371" w:rsidRPr="00DF689E" w:rsidRDefault="00F935E1" w:rsidP="00DF689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F689E">
        <w:rPr>
          <w:rFonts w:ascii="Verdana" w:hAnsi="Verdana"/>
          <w:sz w:val="24"/>
          <w:szCs w:val="24"/>
        </w:rPr>
        <w:t xml:space="preserve">Faz Saber que </w:t>
      </w:r>
      <w:r w:rsidR="00334A6F" w:rsidRPr="00DF689E">
        <w:rPr>
          <w:rFonts w:ascii="Verdana" w:hAnsi="Verdana"/>
          <w:sz w:val="24"/>
          <w:szCs w:val="24"/>
        </w:rPr>
        <w:t>a</w:t>
      </w:r>
      <w:r w:rsidRPr="00DF689E">
        <w:rPr>
          <w:rFonts w:ascii="Verdana" w:hAnsi="Verdana"/>
          <w:sz w:val="24"/>
          <w:szCs w:val="24"/>
        </w:rPr>
        <w:t xml:space="preserve"> Leiloeir</w:t>
      </w:r>
      <w:r w:rsidR="00334A6F" w:rsidRPr="00DF689E">
        <w:rPr>
          <w:rFonts w:ascii="Verdana" w:hAnsi="Verdana"/>
          <w:sz w:val="24"/>
          <w:szCs w:val="24"/>
        </w:rPr>
        <w:t>a</w:t>
      </w:r>
      <w:r w:rsidRPr="00DF689E">
        <w:rPr>
          <w:rFonts w:ascii="Verdana" w:hAnsi="Verdana"/>
          <w:sz w:val="24"/>
          <w:szCs w:val="24"/>
        </w:rPr>
        <w:t xml:space="preserve"> Oficial, Sra. Dagmar C. S. Flores, JUCESP 901</w:t>
      </w:r>
      <w:bookmarkStart w:id="0" w:name="_Hlk149298895"/>
      <w:r w:rsidR="00264417" w:rsidRPr="00DF689E">
        <w:rPr>
          <w:rFonts w:ascii="Verdana" w:hAnsi="Verdana"/>
          <w:sz w:val="24"/>
          <w:szCs w:val="24"/>
        </w:rPr>
        <w:t xml:space="preserve">, </w:t>
      </w:r>
      <w:bookmarkEnd w:id="0"/>
      <w:r w:rsidR="00B3171C" w:rsidRPr="00DF689E">
        <w:rPr>
          <w:rFonts w:ascii="Verdana" w:hAnsi="Verdana"/>
          <w:sz w:val="24"/>
          <w:szCs w:val="24"/>
        </w:rPr>
        <w:t xml:space="preserve">levará a leilão público para venda e arrematação, no local e hora descritos no edital com transmissão pela internet e disponibilização imediata na plataforma de leilões eletrônicos, </w:t>
      </w:r>
      <w:hyperlink r:id="rId4" w:history="1">
        <w:r w:rsidR="00B3171C" w:rsidRPr="00DF689E">
          <w:rPr>
            <w:rStyle w:val="Hyperlink"/>
            <w:rFonts w:ascii="Verdana" w:hAnsi="Verdana"/>
            <w:sz w:val="24"/>
            <w:szCs w:val="24"/>
          </w:rPr>
          <w:t>www.leilaobrasil.com.br</w:t>
        </w:r>
      </w:hyperlink>
      <w:r w:rsidR="008B5371" w:rsidRPr="00DF689E">
        <w:rPr>
          <w:rFonts w:ascii="Verdana" w:hAnsi="Verdana"/>
          <w:sz w:val="24"/>
          <w:szCs w:val="24"/>
        </w:rPr>
        <w:t>.</w:t>
      </w:r>
    </w:p>
    <w:p w14:paraId="2186CD65" w14:textId="77777777" w:rsidR="008B5371" w:rsidRPr="00DF689E" w:rsidRDefault="00B3171C" w:rsidP="00DF689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F689E">
        <w:rPr>
          <w:rFonts w:ascii="Verdana" w:hAnsi="Verdana"/>
          <w:sz w:val="24"/>
          <w:szCs w:val="24"/>
        </w:rPr>
        <w:t xml:space="preserve">Do início e encerramento do Leilão: Início do 1° leilão em </w:t>
      </w:r>
      <w:r w:rsidR="00FA3379" w:rsidRPr="00DF689E">
        <w:rPr>
          <w:rFonts w:ascii="Verdana" w:hAnsi="Verdana"/>
          <w:sz w:val="24"/>
          <w:szCs w:val="24"/>
        </w:rPr>
        <w:t xml:space="preserve">21/11/2025 </w:t>
      </w:r>
      <w:r w:rsidRPr="00DF689E">
        <w:rPr>
          <w:rFonts w:ascii="Verdana" w:hAnsi="Verdana"/>
          <w:sz w:val="24"/>
          <w:szCs w:val="24"/>
        </w:rPr>
        <w:t xml:space="preserve">às </w:t>
      </w:r>
      <w:r w:rsidR="00FA3379" w:rsidRPr="00DF689E">
        <w:rPr>
          <w:rFonts w:ascii="Verdana" w:hAnsi="Verdana"/>
          <w:sz w:val="24"/>
          <w:szCs w:val="24"/>
        </w:rPr>
        <w:t>10:27</w:t>
      </w:r>
      <w:r w:rsidRPr="00DF689E">
        <w:rPr>
          <w:rFonts w:ascii="Verdana" w:hAnsi="Verdana"/>
          <w:sz w:val="24"/>
          <w:szCs w:val="24"/>
        </w:rPr>
        <w:t xml:space="preserve"> horas e encerramento do 1° leilão em </w:t>
      </w:r>
      <w:r w:rsidR="00FA3379" w:rsidRPr="00DF689E">
        <w:rPr>
          <w:rFonts w:ascii="Verdana" w:hAnsi="Verdana"/>
          <w:sz w:val="24"/>
          <w:szCs w:val="24"/>
        </w:rPr>
        <w:t xml:space="preserve">24/11/2025 </w:t>
      </w:r>
      <w:r w:rsidRPr="00DF689E">
        <w:rPr>
          <w:rFonts w:ascii="Verdana" w:hAnsi="Verdana"/>
          <w:sz w:val="24"/>
          <w:szCs w:val="24"/>
        </w:rPr>
        <w:t xml:space="preserve">às </w:t>
      </w:r>
      <w:r w:rsidR="00FA3379" w:rsidRPr="00DF689E">
        <w:rPr>
          <w:rFonts w:ascii="Verdana" w:hAnsi="Verdana"/>
          <w:sz w:val="24"/>
          <w:szCs w:val="24"/>
        </w:rPr>
        <w:t>10:27</w:t>
      </w:r>
      <w:r w:rsidRPr="00DF689E">
        <w:rPr>
          <w:rFonts w:ascii="Verdana" w:hAnsi="Verdana"/>
          <w:sz w:val="24"/>
          <w:szCs w:val="24"/>
        </w:rPr>
        <w:t xml:space="preserve"> horas, em não havendo lance igual ou superior ao valor da avaliação atualizada para a data supra, seguir-se-á sem interrupção o 2° leilão que se encerrará em </w:t>
      </w:r>
      <w:r w:rsidR="00FA3379" w:rsidRPr="00DF689E">
        <w:rPr>
          <w:rFonts w:ascii="Verdana" w:hAnsi="Verdana"/>
          <w:sz w:val="24"/>
          <w:szCs w:val="24"/>
        </w:rPr>
        <w:t>17/12/2025</w:t>
      </w:r>
      <w:r w:rsidRPr="00DF689E">
        <w:rPr>
          <w:rFonts w:ascii="Verdana" w:hAnsi="Verdana"/>
          <w:sz w:val="24"/>
          <w:szCs w:val="24"/>
        </w:rPr>
        <w:t xml:space="preserve"> às </w:t>
      </w:r>
      <w:r w:rsidR="00FA3379" w:rsidRPr="00DF689E">
        <w:rPr>
          <w:rFonts w:ascii="Verdana" w:hAnsi="Verdana"/>
          <w:sz w:val="24"/>
          <w:szCs w:val="24"/>
        </w:rPr>
        <w:t>10:27</w:t>
      </w:r>
      <w:r w:rsidRPr="00DF689E">
        <w:rPr>
          <w:rFonts w:ascii="Verdana" w:hAnsi="Verdana"/>
          <w:sz w:val="24"/>
          <w:szCs w:val="24"/>
        </w:rPr>
        <w:t xml:space="preserve"> horas, não sendo aceito lances inferiores a </w:t>
      </w:r>
      <w:r w:rsidR="00C84394" w:rsidRPr="00DF689E">
        <w:rPr>
          <w:rFonts w:ascii="Verdana" w:hAnsi="Verdana"/>
          <w:sz w:val="24"/>
          <w:szCs w:val="24"/>
        </w:rPr>
        <w:t>70</w:t>
      </w:r>
      <w:r w:rsidRPr="00DF689E">
        <w:rPr>
          <w:rFonts w:ascii="Verdana" w:hAnsi="Verdana"/>
          <w:sz w:val="24"/>
          <w:szCs w:val="24"/>
        </w:rPr>
        <w:t>% do valor da avaliação atualizada pelos índices do TJSP para a data da abertura do leilão que deverá ser ofertado diretamente na plataforma através da internet.</w:t>
      </w:r>
    </w:p>
    <w:p w14:paraId="4B82566F" w14:textId="77777777" w:rsidR="006E6390" w:rsidRPr="00DF689E" w:rsidRDefault="00E338B8" w:rsidP="00DF689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F689E">
        <w:rPr>
          <w:rFonts w:ascii="Verdana" w:hAnsi="Verdana"/>
          <w:sz w:val="24"/>
          <w:szCs w:val="24"/>
        </w:rPr>
        <w:t>Be</w:t>
      </w:r>
      <w:r w:rsidR="006E6390" w:rsidRPr="00DF689E">
        <w:rPr>
          <w:rFonts w:ascii="Verdana" w:hAnsi="Verdana"/>
          <w:sz w:val="24"/>
          <w:szCs w:val="24"/>
        </w:rPr>
        <w:t>ns</w:t>
      </w:r>
      <w:r w:rsidR="004E5093" w:rsidRPr="00DF689E">
        <w:rPr>
          <w:rFonts w:ascii="Verdana" w:hAnsi="Verdana"/>
          <w:sz w:val="24"/>
          <w:szCs w:val="24"/>
        </w:rPr>
        <w:t>:</w:t>
      </w:r>
      <w:r w:rsidRPr="00DF689E">
        <w:rPr>
          <w:rFonts w:ascii="Verdana" w:hAnsi="Verdana"/>
          <w:sz w:val="24"/>
          <w:szCs w:val="24"/>
        </w:rPr>
        <w:t xml:space="preserve"> </w:t>
      </w:r>
      <w:r w:rsidR="006E6390" w:rsidRPr="00DF689E">
        <w:rPr>
          <w:rFonts w:ascii="Verdana" w:hAnsi="Verdana"/>
          <w:sz w:val="24"/>
          <w:szCs w:val="24"/>
        </w:rPr>
        <w:t xml:space="preserve">Lote 1 – </w:t>
      </w:r>
      <w:r w:rsidR="00C84394" w:rsidRPr="00DF689E">
        <w:rPr>
          <w:rFonts w:ascii="Verdana" w:hAnsi="Verdana"/>
          <w:sz w:val="24"/>
          <w:szCs w:val="24"/>
        </w:rPr>
        <w:t xml:space="preserve">Direitos que os executados possuem sobre o </w:t>
      </w:r>
      <w:r w:rsidR="006E6390" w:rsidRPr="00DF689E">
        <w:rPr>
          <w:rFonts w:ascii="Verdana" w:hAnsi="Verdana"/>
          <w:sz w:val="24"/>
          <w:szCs w:val="24"/>
        </w:rPr>
        <w:t xml:space="preserve">Lote 04 da quadra 19 do loteamento “Residencial Fazenda do Porto” situado no bairro da </w:t>
      </w:r>
      <w:proofErr w:type="spellStart"/>
      <w:r w:rsidR="006E6390" w:rsidRPr="00DF689E">
        <w:rPr>
          <w:rFonts w:ascii="Verdana" w:hAnsi="Verdana"/>
          <w:sz w:val="24"/>
          <w:szCs w:val="24"/>
        </w:rPr>
        <w:t>Guaxinduva</w:t>
      </w:r>
      <w:proofErr w:type="spellEnd"/>
      <w:r w:rsidR="006E6390" w:rsidRPr="00DF689E">
        <w:rPr>
          <w:rFonts w:ascii="Verdana" w:hAnsi="Verdana"/>
          <w:sz w:val="24"/>
          <w:szCs w:val="24"/>
        </w:rPr>
        <w:t xml:space="preserve">, perímetro urbano desta Cidade e Comarca de Atibaia/SP, circunscrito dentro do perímetro seguinte: Faz frente para a Rua 16 onde mede 20 m em curva, da frente aos fundos de quem </w:t>
      </w:r>
      <w:proofErr w:type="spellStart"/>
      <w:r w:rsidR="006E6390" w:rsidRPr="00DF689E">
        <w:rPr>
          <w:rFonts w:ascii="Verdana" w:hAnsi="Verdana"/>
          <w:sz w:val="24"/>
          <w:szCs w:val="24"/>
        </w:rPr>
        <w:t>da</w:t>
      </w:r>
      <w:proofErr w:type="spellEnd"/>
      <w:r w:rsidR="006E6390" w:rsidRPr="00DF689E">
        <w:rPr>
          <w:rFonts w:ascii="Verdana" w:hAnsi="Verdana"/>
          <w:sz w:val="24"/>
          <w:szCs w:val="24"/>
        </w:rPr>
        <w:t xml:space="preserve"> mencionada rua olha para o terreno mede 41,55 m do lado direito, 42,23 m do lado esquerdo e 21,01 m nos fundos, confrontando à direita com o lote 05, à esquerda com o lote 03 e aos fundos com o Sistema de Lazer 14, perfazendo uma superfície total de 878,42 m²</w:t>
      </w:r>
      <w:r w:rsidR="00FA3379" w:rsidRPr="00DF689E">
        <w:rPr>
          <w:rFonts w:ascii="Verdana" w:hAnsi="Verdana"/>
          <w:sz w:val="24"/>
          <w:szCs w:val="24"/>
        </w:rPr>
        <w:t xml:space="preserve">. </w:t>
      </w:r>
      <w:r w:rsidR="00404F1C" w:rsidRPr="00DF689E">
        <w:rPr>
          <w:rFonts w:ascii="Verdana" w:hAnsi="Verdana"/>
          <w:sz w:val="24"/>
          <w:szCs w:val="24"/>
        </w:rPr>
        <w:t>Obs.</w:t>
      </w:r>
      <w:r w:rsidR="00FA3379" w:rsidRPr="00DF689E">
        <w:rPr>
          <w:rFonts w:ascii="Verdana" w:hAnsi="Verdana"/>
          <w:sz w:val="24"/>
          <w:szCs w:val="24"/>
        </w:rPr>
        <w:t>: Consta nos autos, a informação que o compromisso de compra e venda está quitado</w:t>
      </w:r>
      <w:r w:rsidR="006E6390" w:rsidRPr="00DF689E">
        <w:rPr>
          <w:rFonts w:ascii="Verdana" w:hAnsi="Verdana"/>
          <w:sz w:val="24"/>
          <w:szCs w:val="24"/>
        </w:rPr>
        <w:t>. Contribuinte: 21.032.004.00-</w:t>
      </w:r>
      <w:r w:rsidR="006E6390" w:rsidRPr="00DF689E">
        <w:rPr>
          <w:rFonts w:ascii="Verdana" w:hAnsi="Verdana"/>
          <w:sz w:val="24"/>
          <w:szCs w:val="24"/>
        </w:rPr>
        <w:lastRenderedPageBreak/>
        <w:t xml:space="preserve">0113572. Matrícula nº 101.154 do CRI de Atibaia/SP. Ônus: Conforme a Av.1, o imóvel possui 311,23 m² de área non </w:t>
      </w:r>
      <w:proofErr w:type="spellStart"/>
      <w:r w:rsidR="006E6390" w:rsidRPr="00DF689E">
        <w:rPr>
          <w:rFonts w:ascii="Verdana" w:hAnsi="Verdana"/>
          <w:sz w:val="24"/>
          <w:szCs w:val="24"/>
        </w:rPr>
        <w:t>aedificandi</w:t>
      </w:r>
      <w:proofErr w:type="spellEnd"/>
      <w:r w:rsidR="006E6390" w:rsidRPr="00DF689E">
        <w:rPr>
          <w:rFonts w:ascii="Verdana" w:hAnsi="Verdana"/>
          <w:sz w:val="24"/>
          <w:szCs w:val="24"/>
        </w:rPr>
        <w:t>, localizada nos fundos do imóvel. Consta na Av.2, as restrições convencionais sobre o imóvel.</w:t>
      </w:r>
      <w:r w:rsidR="00FA3379" w:rsidRPr="00DF689E">
        <w:rPr>
          <w:rFonts w:ascii="Verdana" w:hAnsi="Verdana"/>
          <w:sz w:val="24"/>
          <w:szCs w:val="24"/>
        </w:rPr>
        <w:t xml:space="preserve"> Consta na Av.7, a indisponibilidade d</w:t>
      </w:r>
      <w:r w:rsidR="00404F1C" w:rsidRPr="00DF689E">
        <w:rPr>
          <w:rFonts w:ascii="Verdana" w:hAnsi="Verdana"/>
          <w:sz w:val="24"/>
          <w:szCs w:val="24"/>
        </w:rPr>
        <w:t>os direitos d</w:t>
      </w:r>
      <w:r w:rsidR="00FA3379" w:rsidRPr="00DF689E">
        <w:rPr>
          <w:rFonts w:ascii="Verdana" w:hAnsi="Verdana"/>
          <w:sz w:val="24"/>
          <w:szCs w:val="24"/>
        </w:rPr>
        <w:t xml:space="preserve">o imóvel </w:t>
      </w:r>
      <w:r w:rsidR="00404F1C" w:rsidRPr="00DF689E">
        <w:rPr>
          <w:rFonts w:ascii="Verdana" w:hAnsi="Verdana"/>
          <w:sz w:val="24"/>
          <w:szCs w:val="24"/>
        </w:rPr>
        <w:t>pelo processo nº 15092015 da Vara Única de Guararema. Consta na Av.8, a indisponibilidade dos direitos do imóvel pelo processo nº 0001753-92.2015.8.26.0219 da Vara Única de Guararema. Consta na Av.9, a indisponibilidade dos direitos do imóvel pelo processo nº 0001008-78.2015.5.02.0010 10ª Vara do Trabalho de São Paulo. Consta na Av.10, a penhora dos direitos do imóvel pelo processo nº 0004884-87.2019.8.26.0008 da 3ª Vara Cível de Tatuapé. Consta na Av.11, a penhora dos direitos do imóvel pelo processo nº 1004118-53.2015.8.26.0009 da 2ª Vara Cível de Vila Prudente.</w:t>
      </w:r>
    </w:p>
    <w:p w14:paraId="623AC9BF" w14:textId="77777777" w:rsidR="00C84394" w:rsidRPr="00DF689E" w:rsidRDefault="00C84394" w:rsidP="00DF689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F689E">
        <w:rPr>
          <w:rFonts w:ascii="Verdana" w:hAnsi="Verdana"/>
          <w:sz w:val="24"/>
          <w:szCs w:val="24"/>
        </w:rPr>
        <w:t>Avaliação: R$ 507.617,94 (outubro/2025).</w:t>
      </w:r>
    </w:p>
    <w:p w14:paraId="045A9409" w14:textId="77777777" w:rsidR="000D5F12" w:rsidRPr="00DF689E" w:rsidRDefault="006E6390" w:rsidP="00DF689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F689E">
        <w:rPr>
          <w:rFonts w:ascii="Verdana" w:hAnsi="Verdana"/>
          <w:sz w:val="24"/>
          <w:szCs w:val="24"/>
        </w:rPr>
        <w:t xml:space="preserve">Lote 2 – </w:t>
      </w:r>
      <w:r w:rsidR="00C84394" w:rsidRPr="00DF689E">
        <w:rPr>
          <w:rFonts w:ascii="Verdana" w:hAnsi="Verdana"/>
          <w:sz w:val="24"/>
          <w:szCs w:val="24"/>
        </w:rPr>
        <w:t xml:space="preserve">Direitos que os executados possuem sobre o </w:t>
      </w:r>
      <w:r w:rsidRPr="00DF689E">
        <w:rPr>
          <w:rFonts w:ascii="Verdana" w:hAnsi="Verdana"/>
          <w:sz w:val="24"/>
          <w:szCs w:val="24"/>
        </w:rPr>
        <w:t xml:space="preserve">Lote 05 da quadra 19 do loteamento “Residencial Fazenda do Porto” situado no bairro de </w:t>
      </w:r>
      <w:proofErr w:type="spellStart"/>
      <w:r w:rsidRPr="00DF689E">
        <w:rPr>
          <w:rFonts w:ascii="Verdana" w:hAnsi="Verdana"/>
          <w:sz w:val="24"/>
          <w:szCs w:val="24"/>
        </w:rPr>
        <w:t>Guaxinduva</w:t>
      </w:r>
      <w:proofErr w:type="spellEnd"/>
      <w:r w:rsidRPr="00DF689E">
        <w:rPr>
          <w:rFonts w:ascii="Verdana" w:hAnsi="Verdana"/>
          <w:sz w:val="24"/>
          <w:szCs w:val="24"/>
        </w:rPr>
        <w:t xml:space="preserve">, perímetro urbano desta Cidade e Comarca de Atibaia/SP, circunscrito dentro do perímetro seguinte: Faz frente para </w:t>
      </w:r>
      <w:r w:rsidR="00C84394" w:rsidRPr="00DF689E">
        <w:rPr>
          <w:rFonts w:ascii="Verdana" w:hAnsi="Verdana"/>
          <w:sz w:val="24"/>
          <w:szCs w:val="24"/>
        </w:rPr>
        <w:t>R</w:t>
      </w:r>
      <w:r w:rsidRPr="00DF689E">
        <w:rPr>
          <w:rFonts w:ascii="Verdana" w:hAnsi="Verdana"/>
          <w:sz w:val="24"/>
          <w:szCs w:val="24"/>
        </w:rPr>
        <w:t>ua 16 onde mede 20</w:t>
      </w:r>
      <w:r w:rsidR="00C84394" w:rsidRPr="00DF689E">
        <w:rPr>
          <w:rFonts w:ascii="Verdana" w:hAnsi="Verdana"/>
          <w:sz w:val="24"/>
          <w:szCs w:val="24"/>
        </w:rPr>
        <w:t xml:space="preserve"> </w:t>
      </w:r>
      <w:r w:rsidRPr="00DF689E">
        <w:rPr>
          <w:rFonts w:ascii="Verdana" w:hAnsi="Verdana"/>
          <w:sz w:val="24"/>
          <w:szCs w:val="24"/>
        </w:rPr>
        <w:t xml:space="preserve">m em curva, da frente aos fundos de quem </w:t>
      </w:r>
      <w:proofErr w:type="spellStart"/>
      <w:r w:rsidRPr="00DF689E">
        <w:rPr>
          <w:rFonts w:ascii="Verdana" w:hAnsi="Verdana"/>
          <w:sz w:val="24"/>
          <w:szCs w:val="24"/>
        </w:rPr>
        <w:t>da</w:t>
      </w:r>
      <w:proofErr w:type="spellEnd"/>
      <w:r w:rsidRPr="00DF689E">
        <w:rPr>
          <w:rFonts w:ascii="Verdana" w:hAnsi="Verdana"/>
          <w:sz w:val="24"/>
          <w:szCs w:val="24"/>
        </w:rPr>
        <w:t xml:space="preserve"> mencionada rua olha para o terreno mede 39,49</w:t>
      </w:r>
      <w:r w:rsidR="00C84394" w:rsidRPr="00DF689E">
        <w:rPr>
          <w:rFonts w:ascii="Verdana" w:hAnsi="Verdana"/>
          <w:sz w:val="24"/>
          <w:szCs w:val="24"/>
        </w:rPr>
        <w:t xml:space="preserve"> </w:t>
      </w:r>
      <w:r w:rsidRPr="00DF689E">
        <w:rPr>
          <w:rFonts w:ascii="Verdana" w:hAnsi="Verdana"/>
          <w:sz w:val="24"/>
          <w:szCs w:val="24"/>
        </w:rPr>
        <w:t>m do lado direito</w:t>
      </w:r>
      <w:r w:rsidR="00C84394" w:rsidRPr="00DF689E">
        <w:rPr>
          <w:rFonts w:ascii="Verdana" w:hAnsi="Verdana"/>
          <w:sz w:val="24"/>
          <w:szCs w:val="24"/>
        </w:rPr>
        <w:t xml:space="preserve">, 41,55 m do lado esquerdo e 21,22 m nos fundos, confrontando à direita com o lote 06, à </w:t>
      </w:r>
      <w:r w:rsidRPr="00DF689E">
        <w:rPr>
          <w:rFonts w:ascii="Verdana" w:hAnsi="Verdana"/>
          <w:sz w:val="24"/>
          <w:szCs w:val="24"/>
        </w:rPr>
        <w:t>esquerda com o lote 04 e aos fundos com o Sistema de lazer 14, perfazendo uma superfície total de 832,96 m²</w:t>
      </w:r>
      <w:r w:rsidR="00FA3379" w:rsidRPr="00DF689E">
        <w:rPr>
          <w:rFonts w:ascii="Verdana" w:hAnsi="Verdana"/>
          <w:sz w:val="24"/>
          <w:szCs w:val="24"/>
        </w:rPr>
        <w:t xml:space="preserve">. </w:t>
      </w:r>
      <w:r w:rsidR="00404F1C" w:rsidRPr="00DF689E">
        <w:rPr>
          <w:rFonts w:ascii="Verdana" w:hAnsi="Verdana"/>
          <w:sz w:val="24"/>
          <w:szCs w:val="24"/>
        </w:rPr>
        <w:t>Obs.</w:t>
      </w:r>
      <w:r w:rsidR="00FA3379" w:rsidRPr="00DF689E">
        <w:rPr>
          <w:rFonts w:ascii="Verdana" w:hAnsi="Verdana"/>
          <w:sz w:val="24"/>
          <w:szCs w:val="24"/>
        </w:rPr>
        <w:t>: Consta nos autos, a informação que o compromisso de compra e venda está quitado.</w:t>
      </w:r>
      <w:r w:rsidR="00C84394" w:rsidRPr="00DF689E">
        <w:rPr>
          <w:rFonts w:ascii="Verdana" w:hAnsi="Verdana"/>
          <w:sz w:val="24"/>
          <w:szCs w:val="24"/>
        </w:rPr>
        <w:t xml:space="preserve"> </w:t>
      </w:r>
      <w:r w:rsidRPr="00DF689E">
        <w:rPr>
          <w:rFonts w:ascii="Verdana" w:hAnsi="Verdana"/>
          <w:sz w:val="24"/>
          <w:szCs w:val="24"/>
        </w:rPr>
        <w:t>Contribuinte: 21.032.00</w:t>
      </w:r>
      <w:r w:rsidR="00C84394" w:rsidRPr="00DF689E">
        <w:rPr>
          <w:rFonts w:ascii="Verdana" w:hAnsi="Verdana"/>
          <w:sz w:val="24"/>
          <w:szCs w:val="24"/>
        </w:rPr>
        <w:t>5</w:t>
      </w:r>
      <w:r w:rsidRPr="00DF689E">
        <w:rPr>
          <w:rFonts w:ascii="Verdana" w:hAnsi="Verdana"/>
          <w:sz w:val="24"/>
          <w:szCs w:val="24"/>
        </w:rPr>
        <w:t>.00-011357</w:t>
      </w:r>
      <w:r w:rsidR="00C84394" w:rsidRPr="00DF689E">
        <w:rPr>
          <w:rFonts w:ascii="Verdana" w:hAnsi="Verdana"/>
          <w:sz w:val="24"/>
          <w:szCs w:val="24"/>
        </w:rPr>
        <w:t>3</w:t>
      </w:r>
      <w:r w:rsidRPr="00DF689E">
        <w:rPr>
          <w:rFonts w:ascii="Verdana" w:hAnsi="Verdana"/>
          <w:sz w:val="24"/>
          <w:szCs w:val="24"/>
        </w:rPr>
        <w:t>. Matrícula nº 98.779 do CRI de Atibaia/SP.</w:t>
      </w:r>
      <w:r w:rsidR="00C84394" w:rsidRPr="00DF689E">
        <w:rPr>
          <w:rFonts w:ascii="Verdana" w:hAnsi="Verdana"/>
          <w:sz w:val="24"/>
          <w:szCs w:val="24"/>
        </w:rPr>
        <w:t xml:space="preserve"> Ônus: Conforme a Av.1, o imóvel possui 293,27 m² de área non </w:t>
      </w:r>
      <w:proofErr w:type="spellStart"/>
      <w:r w:rsidR="00C84394" w:rsidRPr="00DF689E">
        <w:rPr>
          <w:rFonts w:ascii="Verdana" w:hAnsi="Verdana"/>
          <w:sz w:val="24"/>
          <w:szCs w:val="24"/>
        </w:rPr>
        <w:t>aedificandi</w:t>
      </w:r>
      <w:proofErr w:type="spellEnd"/>
      <w:r w:rsidR="00C84394" w:rsidRPr="00DF689E">
        <w:rPr>
          <w:rFonts w:ascii="Verdana" w:hAnsi="Verdana"/>
          <w:sz w:val="24"/>
          <w:szCs w:val="24"/>
        </w:rPr>
        <w:t>, localizada nos fundos do imóvel. Consta na Av.2, as restrições convencionais sobre o imóvel.</w:t>
      </w:r>
      <w:r w:rsidR="00404F1C" w:rsidRPr="00DF689E">
        <w:rPr>
          <w:rFonts w:ascii="Verdana" w:hAnsi="Verdana"/>
          <w:sz w:val="24"/>
          <w:szCs w:val="24"/>
        </w:rPr>
        <w:t xml:space="preserve"> Consta na Av.8, a indisponibilidade dos direitos do imóvel pelo processo nº 15092015 da Vara Única de Guararema. Consta na Av.9, a indisponibilidade dos direitos do imóvel pelo processo nº 0001753-92.2015.8.26.0219 da Vara Única de Guararema. Consta na Av.10, a indisponibilidade dos direitos do imóvel pelo </w:t>
      </w:r>
      <w:r w:rsidR="00404F1C" w:rsidRPr="00DF689E">
        <w:rPr>
          <w:rFonts w:ascii="Verdana" w:hAnsi="Verdana"/>
          <w:sz w:val="24"/>
          <w:szCs w:val="24"/>
        </w:rPr>
        <w:lastRenderedPageBreak/>
        <w:t>processo nº 0001008-78.2015.5.02.0010 10ª Vara do Trabalho de São Paulo. Consta na Av.11, a penhora dos direitos do imóvel pelo processo nº 0004884-87.2019.8.26.0008 da 3ª Vara Cível de Tatuapé. Consta na Av.12, a penhora dos direitos do imóvel pelo processo nº 1004118-53.2015.8.26.0009 da 2ª Vara Cível de Vila Prudente.</w:t>
      </w:r>
    </w:p>
    <w:p w14:paraId="21EDC31C" w14:textId="77777777" w:rsidR="008B5371" w:rsidRPr="00DF689E" w:rsidRDefault="00C84394" w:rsidP="00DF689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F689E">
        <w:rPr>
          <w:rFonts w:ascii="Verdana" w:hAnsi="Verdana"/>
          <w:sz w:val="24"/>
          <w:szCs w:val="24"/>
        </w:rPr>
        <w:t>Avaliação: R$ 483.192,81 (outubro/2025).</w:t>
      </w:r>
    </w:p>
    <w:p w14:paraId="3962D899" w14:textId="77777777" w:rsidR="00C84394" w:rsidRPr="00DF689E" w:rsidRDefault="00C84394" w:rsidP="00DF689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F689E">
        <w:rPr>
          <w:rFonts w:ascii="Verdana" w:hAnsi="Verdana"/>
          <w:sz w:val="24"/>
          <w:szCs w:val="24"/>
        </w:rPr>
        <w:t>Total da Avaliação: R$ 990.810,75 (outubro/2025).</w:t>
      </w:r>
    </w:p>
    <w:p w14:paraId="201C2DBE" w14:textId="77777777" w:rsidR="008B5371" w:rsidRPr="00DF689E" w:rsidRDefault="00B3171C" w:rsidP="00DF689E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1" w:name="_Hlk149298940"/>
      <w:r w:rsidRPr="00DF689E">
        <w:rPr>
          <w:rFonts w:ascii="Verdana" w:hAnsi="Verdana"/>
          <w:sz w:val="24"/>
          <w:szCs w:val="24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7413826D" w14:textId="77777777" w:rsidR="00B3171C" w:rsidRPr="00DF689E" w:rsidRDefault="00B3171C" w:rsidP="00DF689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F689E">
        <w:rPr>
          <w:rFonts w:ascii="Verdana" w:hAnsi="Verdana"/>
          <w:sz w:val="24"/>
          <w:szCs w:val="24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2B7F767A" w14:textId="77777777" w:rsidR="008B5371" w:rsidRPr="00DF689E" w:rsidRDefault="00B3171C" w:rsidP="00DF689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F689E">
        <w:rPr>
          <w:rFonts w:ascii="Verdana" w:hAnsi="Verdana"/>
          <w:sz w:val="24"/>
          <w:szCs w:val="24"/>
        </w:rPr>
        <w:t>Da Comissão: A comissão do leiloeiro será de 5% sobre o valor da arrematação artigo 7° da Resolução 236/2016 do CNJ, não estando incluída no valor da arrematação e deverá ser</w:t>
      </w:r>
      <w:r w:rsidR="00207209" w:rsidRPr="00DF689E">
        <w:rPr>
          <w:rFonts w:ascii="Verdana" w:hAnsi="Verdana"/>
          <w:sz w:val="24"/>
          <w:szCs w:val="24"/>
        </w:rPr>
        <w:t xml:space="preserve"> </w:t>
      </w:r>
      <w:bookmarkEnd w:id="1"/>
      <w:r w:rsidR="00C84394" w:rsidRPr="00DF689E">
        <w:rPr>
          <w:rFonts w:ascii="Verdana" w:hAnsi="Verdana"/>
          <w:sz w:val="24"/>
          <w:szCs w:val="24"/>
        </w:rPr>
        <w:t>paga diretamente à Leiloeira Oficial</w:t>
      </w:r>
      <w:r w:rsidR="00207209" w:rsidRPr="00DF689E">
        <w:rPr>
          <w:rFonts w:ascii="Verdana" w:hAnsi="Verdana"/>
          <w:sz w:val="24"/>
          <w:szCs w:val="24"/>
        </w:rPr>
        <w:t>.</w:t>
      </w:r>
    </w:p>
    <w:p w14:paraId="53F0E8EE" w14:textId="77777777" w:rsidR="008B5371" w:rsidRPr="00DF689E" w:rsidRDefault="008B5371" w:rsidP="00DF689E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2" w:name="_Hlk149298970"/>
      <w:r w:rsidRPr="00DF689E">
        <w:rPr>
          <w:rFonts w:ascii="Verdana" w:hAnsi="Verdana"/>
          <w:sz w:val="24"/>
          <w:szCs w:val="24"/>
        </w:rPr>
        <w:t>Da Adjudicação: Condicionada aos termos do art. 876 e 892, §1° do CPC.</w:t>
      </w:r>
    </w:p>
    <w:p w14:paraId="5C24DEA8" w14:textId="77777777" w:rsidR="008B5371" w:rsidRPr="00DF689E" w:rsidRDefault="008B5371" w:rsidP="00DF689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F689E">
        <w:rPr>
          <w:rFonts w:ascii="Verdana" w:hAnsi="Verdana"/>
          <w:sz w:val="24"/>
          <w:szCs w:val="24"/>
        </w:rPr>
        <w:t>Do pagamento: O arrematante terá o prazo de 24 horas para efetuar o pagamento da arrematação e da comissão.</w:t>
      </w:r>
    </w:p>
    <w:p w14:paraId="0D7EB7F7" w14:textId="77777777" w:rsidR="006474D0" w:rsidRPr="00DF689E" w:rsidRDefault="006474D0" w:rsidP="00DF689E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3" w:name="_Hlk149298983"/>
      <w:bookmarkEnd w:id="2"/>
      <w:r w:rsidRPr="00DF689E">
        <w:rPr>
          <w:rFonts w:ascii="Verdana" w:hAnsi="Verdana"/>
          <w:sz w:val="24"/>
          <w:szCs w:val="24"/>
        </w:rPr>
        <w:t>Do pagamento parcelado: O parcelamento da arrematação dar-se-á nos termos da Lei; Artigo 895, §2°, §7° e §8°, todos do CPC e Artigo 14 e 22 da Resolução 236/2016 do CNJ, compreendendo a ampla divulgação e transparência necessárias ao judiciário; ainda, poderá o interessado ofertar “Real Time dentro do Auditório Virtual”, valor e quantidade de parcelas diferente para cada lance ofertado as guias para pagamento</w:t>
      </w:r>
      <w:r w:rsidR="0014445F" w:rsidRPr="00DF689E">
        <w:rPr>
          <w:rFonts w:ascii="Verdana" w:hAnsi="Verdana"/>
          <w:sz w:val="24"/>
          <w:szCs w:val="24"/>
        </w:rPr>
        <w:t xml:space="preserve"> </w:t>
      </w:r>
      <w:r w:rsidRPr="00DF689E">
        <w:rPr>
          <w:rFonts w:ascii="Verdana" w:hAnsi="Verdana"/>
          <w:sz w:val="24"/>
          <w:szCs w:val="24"/>
        </w:rPr>
        <w:t xml:space="preserve">das parcelas mensais deverão ser geradas pelo próprio arrematante diretamente no site do Tribunal; deverá também o interessado atentar para o disposto nos </w:t>
      </w:r>
      <w:r w:rsidRPr="00DF689E">
        <w:rPr>
          <w:rFonts w:ascii="Verdana" w:hAnsi="Verdana"/>
          <w:sz w:val="24"/>
          <w:szCs w:val="24"/>
        </w:rPr>
        <w:lastRenderedPageBreak/>
        <w:t>demais parágrafos do artigo 895 quanto ao valor da parcela, das garantias,</w:t>
      </w:r>
      <w:r w:rsidR="0014445F" w:rsidRPr="00DF689E">
        <w:rPr>
          <w:rFonts w:ascii="Verdana" w:hAnsi="Verdana"/>
          <w:sz w:val="24"/>
          <w:szCs w:val="24"/>
        </w:rPr>
        <w:t xml:space="preserve"> </w:t>
      </w:r>
      <w:r w:rsidRPr="00DF689E">
        <w:rPr>
          <w:rFonts w:ascii="Verdana" w:hAnsi="Verdana"/>
          <w:sz w:val="24"/>
          <w:szCs w:val="24"/>
        </w:rPr>
        <w:t>da atualização mensal das parcelas vincendas e da decisão exarada pel</w:t>
      </w:r>
      <w:r w:rsidR="00334A6F" w:rsidRPr="00DF689E">
        <w:rPr>
          <w:rFonts w:ascii="Verdana" w:hAnsi="Verdana"/>
          <w:sz w:val="24"/>
          <w:szCs w:val="24"/>
        </w:rPr>
        <w:t>a</w:t>
      </w:r>
      <w:r w:rsidRPr="00DF689E">
        <w:rPr>
          <w:rFonts w:ascii="Verdana" w:hAnsi="Verdana"/>
          <w:sz w:val="24"/>
          <w:szCs w:val="24"/>
        </w:rPr>
        <w:t xml:space="preserve"> MM. Ju</w:t>
      </w:r>
      <w:r w:rsidR="00334A6F" w:rsidRPr="00DF689E">
        <w:rPr>
          <w:rFonts w:ascii="Verdana" w:hAnsi="Verdana"/>
          <w:sz w:val="24"/>
          <w:szCs w:val="24"/>
        </w:rPr>
        <w:t>í</w:t>
      </w:r>
      <w:r w:rsidRPr="00DF689E">
        <w:rPr>
          <w:rFonts w:ascii="Verdana" w:hAnsi="Verdana"/>
          <w:sz w:val="24"/>
          <w:szCs w:val="24"/>
        </w:rPr>
        <w:t>z</w:t>
      </w:r>
      <w:r w:rsidR="00334A6F" w:rsidRPr="00DF689E">
        <w:rPr>
          <w:rFonts w:ascii="Verdana" w:hAnsi="Verdana"/>
          <w:sz w:val="24"/>
          <w:szCs w:val="24"/>
        </w:rPr>
        <w:t>a</w:t>
      </w:r>
      <w:r w:rsidRPr="00DF689E">
        <w:rPr>
          <w:rFonts w:ascii="Verdana" w:hAnsi="Verdana"/>
          <w:sz w:val="24"/>
          <w:szCs w:val="24"/>
        </w:rPr>
        <w:t xml:space="preserve"> nos autos.</w:t>
      </w:r>
    </w:p>
    <w:p w14:paraId="5164258B" w14:textId="77777777" w:rsidR="00B3171C" w:rsidRPr="00DF689E" w:rsidRDefault="00B3171C" w:rsidP="00DF689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F689E">
        <w:rPr>
          <w:rFonts w:ascii="Verdana" w:hAnsi="Verdana"/>
          <w:sz w:val="24"/>
          <w:szCs w:val="24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0A0122C9" w14:textId="77777777" w:rsidR="00B3171C" w:rsidRPr="00DF689E" w:rsidRDefault="00B3171C" w:rsidP="00DF689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F689E">
        <w:rPr>
          <w:rFonts w:ascii="Verdana" w:hAnsi="Verdana"/>
          <w:sz w:val="24"/>
          <w:szCs w:val="24"/>
        </w:rPr>
        <w:t>Responsabilidade outras: Correrão por conta exclusiva do arrematante as despesas gerais relativas à desmontagem, transporte e transferência patrimonial dos bens arrematados, exceto os que se enquadrem no art. 130, § único do CTN e art. 908, § 1° do CPC.</w:t>
      </w:r>
    </w:p>
    <w:p w14:paraId="68A031F6" w14:textId="77777777" w:rsidR="00B3171C" w:rsidRPr="00DF689E" w:rsidRDefault="00B3171C" w:rsidP="00DF689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F689E">
        <w:rPr>
          <w:rFonts w:ascii="Verdana" w:hAnsi="Verdana"/>
          <w:sz w:val="24"/>
          <w:szCs w:val="24"/>
        </w:rPr>
        <w:t>Recursos: Dos autos não consta recursos ou causa pendente de julgamento.</w:t>
      </w:r>
    </w:p>
    <w:p w14:paraId="64A9AC5E" w14:textId="77777777" w:rsidR="008B5371" w:rsidRPr="00DF689E" w:rsidRDefault="00B3171C" w:rsidP="00DF689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F689E">
        <w:rPr>
          <w:rFonts w:ascii="Verdana" w:hAnsi="Verdana"/>
          <w:sz w:val="24"/>
          <w:szCs w:val="24"/>
        </w:rPr>
        <w:t>Da Carta de arrematação: A carta de arrematação será expedida pel</w:t>
      </w:r>
      <w:r w:rsidR="00334A6F" w:rsidRPr="00DF689E">
        <w:rPr>
          <w:rFonts w:ascii="Verdana" w:hAnsi="Verdana"/>
          <w:sz w:val="24"/>
          <w:szCs w:val="24"/>
        </w:rPr>
        <w:t>a</w:t>
      </w:r>
      <w:r w:rsidRPr="00DF689E">
        <w:rPr>
          <w:rFonts w:ascii="Verdana" w:hAnsi="Verdana"/>
          <w:sz w:val="24"/>
          <w:szCs w:val="24"/>
        </w:rPr>
        <w:t xml:space="preserve"> MM. Ju</w:t>
      </w:r>
      <w:r w:rsidR="00334A6F" w:rsidRPr="00DF689E">
        <w:rPr>
          <w:rFonts w:ascii="Verdana" w:hAnsi="Verdana"/>
          <w:sz w:val="24"/>
          <w:szCs w:val="24"/>
        </w:rPr>
        <w:t>í</w:t>
      </w:r>
      <w:r w:rsidRPr="00DF689E">
        <w:rPr>
          <w:rFonts w:ascii="Verdana" w:hAnsi="Verdana"/>
          <w:sz w:val="24"/>
          <w:szCs w:val="24"/>
        </w:rPr>
        <w:t>z</w:t>
      </w:r>
      <w:r w:rsidR="00334A6F" w:rsidRPr="00DF689E">
        <w:rPr>
          <w:rFonts w:ascii="Verdana" w:hAnsi="Verdana"/>
          <w:sz w:val="24"/>
          <w:szCs w:val="24"/>
        </w:rPr>
        <w:t>a</w:t>
      </w:r>
      <w:r w:rsidRPr="00DF689E">
        <w:rPr>
          <w:rFonts w:ascii="Verdana" w:hAnsi="Verdana"/>
          <w:sz w:val="24"/>
          <w:szCs w:val="24"/>
        </w:rPr>
        <w:t xml:space="preserve"> nos termos dos art. 901 e 903 do CPC.</w:t>
      </w:r>
    </w:p>
    <w:p w14:paraId="5C46719B" w14:textId="77777777" w:rsidR="00402415" w:rsidRPr="00DF689E" w:rsidRDefault="008B5371" w:rsidP="00DF689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F689E">
        <w:rPr>
          <w:rFonts w:ascii="Verdana" w:hAnsi="Verdana"/>
          <w:sz w:val="24"/>
          <w:szCs w:val="24"/>
        </w:rPr>
        <w:t xml:space="preserve">Dúvidas e Esclarecimentos: pessoalmente perante o </w:t>
      </w:r>
      <w:bookmarkEnd w:id="3"/>
      <w:r w:rsidR="00334A6F" w:rsidRPr="00DF689E">
        <w:rPr>
          <w:rFonts w:ascii="Verdana" w:hAnsi="Verdana"/>
          <w:sz w:val="24"/>
          <w:szCs w:val="24"/>
        </w:rPr>
        <w:t>1</w:t>
      </w:r>
      <w:r w:rsidRPr="00DF689E">
        <w:rPr>
          <w:rFonts w:ascii="Verdana" w:hAnsi="Verdana"/>
          <w:sz w:val="24"/>
          <w:szCs w:val="24"/>
        </w:rPr>
        <w:t xml:space="preserve">° </w:t>
      </w:r>
      <w:bookmarkStart w:id="4" w:name="_Hlk149298997"/>
      <w:r w:rsidRPr="00DF689E">
        <w:rPr>
          <w:rFonts w:ascii="Verdana" w:hAnsi="Verdana"/>
          <w:sz w:val="24"/>
          <w:szCs w:val="24"/>
        </w:rPr>
        <w:t>Ofício Cível, ou no escritório d</w:t>
      </w:r>
      <w:r w:rsidR="00334A6F" w:rsidRPr="00DF689E">
        <w:rPr>
          <w:rFonts w:ascii="Verdana" w:hAnsi="Verdana"/>
          <w:sz w:val="24"/>
          <w:szCs w:val="24"/>
        </w:rPr>
        <w:t>a</w:t>
      </w:r>
      <w:r w:rsidRPr="00DF689E">
        <w:rPr>
          <w:rFonts w:ascii="Verdana" w:hAnsi="Verdana"/>
          <w:sz w:val="24"/>
          <w:szCs w:val="24"/>
        </w:rPr>
        <w:t xml:space="preserve"> </w:t>
      </w:r>
      <w:r w:rsidR="00F935E1" w:rsidRPr="00DF689E">
        <w:rPr>
          <w:rFonts w:ascii="Verdana" w:hAnsi="Verdana"/>
          <w:sz w:val="24"/>
          <w:szCs w:val="24"/>
        </w:rPr>
        <w:t>L</w:t>
      </w:r>
      <w:r w:rsidRPr="00DF689E">
        <w:rPr>
          <w:rFonts w:ascii="Verdana" w:hAnsi="Verdana"/>
          <w:sz w:val="24"/>
          <w:szCs w:val="24"/>
        </w:rPr>
        <w:t>eiloeir</w:t>
      </w:r>
      <w:r w:rsidR="00334A6F" w:rsidRPr="00DF689E">
        <w:rPr>
          <w:rFonts w:ascii="Verdana" w:hAnsi="Verdana"/>
          <w:sz w:val="24"/>
          <w:szCs w:val="24"/>
        </w:rPr>
        <w:t>a</w:t>
      </w:r>
      <w:r w:rsidRPr="00DF689E">
        <w:rPr>
          <w:rFonts w:ascii="Verdana" w:hAnsi="Verdana"/>
          <w:sz w:val="24"/>
          <w:szCs w:val="24"/>
        </w:rPr>
        <w:t xml:space="preserve"> </w:t>
      </w:r>
      <w:r w:rsidR="00F935E1" w:rsidRPr="00DF689E">
        <w:rPr>
          <w:rFonts w:ascii="Verdana" w:hAnsi="Verdana"/>
          <w:sz w:val="24"/>
          <w:szCs w:val="24"/>
        </w:rPr>
        <w:t>O</w:t>
      </w:r>
      <w:r w:rsidRPr="00DF689E">
        <w:rPr>
          <w:rFonts w:ascii="Verdana" w:hAnsi="Verdana"/>
          <w:sz w:val="24"/>
          <w:szCs w:val="24"/>
        </w:rPr>
        <w:t xml:space="preserve">ficial, </w:t>
      </w:r>
      <w:r w:rsidR="00207209" w:rsidRPr="00DF689E">
        <w:rPr>
          <w:rFonts w:ascii="Verdana" w:hAnsi="Verdana"/>
          <w:sz w:val="24"/>
          <w:szCs w:val="24"/>
        </w:rPr>
        <w:t>Avenida Paulista n° 2421, 2° andar, SP - Capi</w:t>
      </w:r>
      <w:r w:rsidRPr="00DF689E">
        <w:rPr>
          <w:rFonts w:ascii="Verdana" w:hAnsi="Verdana"/>
          <w:sz w:val="24"/>
          <w:szCs w:val="24"/>
        </w:rPr>
        <w:t xml:space="preserve">tal, ou ainda, pelo telefone (55 11) 3965-0000 / WhatsApp (55 11) 95662-5151, e e-mail: </w:t>
      </w:r>
      <w:hyperlink r:id="rId5" w:history="1">
        <w:r w:rsidR="00402415" w:rsidRPr="00DF689E">
          <w:rPr>
            <w:rStyle w:val="Hyperlink"/>
            <w:rFonts w:ascii="Verdana" w:hAnsi="Verdana"/>
            <w:sz w:val="24"/>
            <w:szCs w:val="24"/>
          </w:rPr>
          <w:t>atendimento@leilaobrasil.com.br</w:t>
        </w:r>
      </w:hyperlink>
      <w:r w:rsidR="00402415" w:rsidRPr="00DF689E">
        <w:rPr>
          <w:rFonts w:ascii="Verdana" w:hAnsi="Verdana"/>
          <w:sz w:val="24"/>
          <w:szCs w:val="24"/>
        </w:rPr>
        <w:t>.</w:t>
      </w:r>
    </w:p>
    <w:p w14:paraId="158130E3" w14:textId="77777777" w:rsidR="00CC129A" w:rsidRPr="00DF689E" w:rsidRDefault="00B3171C" w:rsidP="00DF689E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F689E">
        <w:rPr>
          <w:rFonts w:ascii="Verdana" w:hAnsi="Verdana"/>
          <w:sz w:val="24"/>
          <w:szCs w:val="24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 2° do CPC</w:t>
      </w:r>
      <w:r w:rsidR="008B5371" w:rsidRPr="00DF689E">
        <w:rPr>
          <w:rFonts w:ascii="Verdana" w:hAnsi="Verdana"/>
          <w:sz w:val="24"/>
          <w:szCs w:val="24"/>
        </w:rPr>
        <w:t>.</w:t>
      </w:r>
      <w:bookmarkEnd w:id="4"/>
      <w:r w:rsidR="008B5371" w:rsidRPr="00DF689E">
        <w:rPr>
          <w:rFonts w:ascii="Verdana" w:hAnsi="Verdana"/>
          <w:sz w:val="24"/>
          <w:szCs w:val="24"/>
        </w:rPr>
        <w:t xml:space="preserve"> </w:t>
      </w:r>
      <w:r w:rsidR="00334A6F" w:rsidRPr="00DF689E">
        <w:rPr>
          <w:rFonts w:ascii="Verdana" w:hAnsi="Verdana"/>
          <w:sz w:val="24"/>
          <w:szCs w:val="24"/>
        </w:rPr>
        <w:t>Atibaia</w:t>
      </w:r>
      <w:r w:rsidR="008B5371" w:rsidRPr="00DF689E">
        <w:rPr>
          <w:rFonts w:ascii="Verdana" w:hAnsi="Verdana"/>
          <w:sz w:val="24"/>
          <w:szCs w:val="24"/>
        </w:rPr>
        <w:t xml:space="preserve">, </w:t>
      </w:r>
      <w:r w:rsidR="00334A6F" w:rsidRPr="00DF689E">
        <w:rPr>
          <w:rFonts w:ascii="Verdana" w:hAnsi="Verdana"/>
          <w:sz w:val="24"/>
          <w:szCs w:val="24"/>
        </w:rPr>
        <w:t>10</w:t>
      </w:r>
      <w:r w:rsidR="008B5371" w:rsidRPr="00DF689E">
        <w:rPr>
          <w:rFonts w:ascii="Verdana" w:hAnsi="Verdana"/>
          <w:sz w:val="24"/>
          <w:szCs w:val="24"/>
        </w:rPr>
        <w:t>/</w:t>
      </w:r>
      <w:r w:rsidR="00334A6F" w:rsidRPr="00DF689E">
        <w:rPr>
          <w:rFonts w:ascii="Verdana" w:hAnsi="Verdana"/>
          <w:sz w:val="24"/>
          <w:szCs w:val="24"/>
        </w:rPr>
        <w:t>10</w:t>
      </w:r>
      <w:r w:rsidR="008B5371" w:rsidRPr="00DF689E">
        <w:rPr>
          <w:rFonts w:ascii="Verdana" w:hAnsi="Verdana"/>
          <w:sz w:val="24"/>
          <w:szCs w:val="24"/>
        </w:rPr>
        <w:t>/202</w:t>
      </w:r>
      <w:r w:rsidR="00A31008" w:rsidRPr="00DF689E">
        <w:rPr>
          <w:rFonts w:ascii="Verdana" w:hAnsi="Verdana"/>
          <w:sz w:val="24"/>
          <w:szCs w:val="24"/>
        </w:rPr>
        <w:t>5</w:t>
      </w:r>
    </w:p>
    <w:sectPr w:rsidR="00CC129A" w:rsidRPr="00DF689E" w:rsidSect="00DF689E">
      <w:pgSz w:w="11906" w:h="16838"/>
      <w:pgMar w:top="1417" w:right="1416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6E0"/>
    <w:rsid w:val="00000E08"/>
    <w:rsid w:val="000566B4"/>
    <w:rsid w:val="00072657"/>
    <w:rsid w:val="00090CC0"/>
    <w:rsid w:val="00093BFD"/>
    <w:rsid w:val="000A32FC"/>
    <w:rsid w:val="000D15F1"/>
    <w:rsid w:val="000D5F12"/>
    <w:rsid w:val="000E2003"/>
    <w:rsid w:val="00132C6A"/>
    <w:rsid w:val="0014445F"/>
    <w:rsid w:val="0015182F"/>
    <w:rsid w:val="0018550B"/>
    <w:rsid w:val="00200C9D"/>
    <w:rsid w:val="00207209"/>
    <w:rsid w:val="002627D5"/>
    <w:rsid w:val="00264417"/>
    <w:rsid w:val="00313825"/>
    <w:rsid w:val="00320D62"/>
    <w:rsid w:val="00321222"/>
    <w:rsid w:val="00330AF6"/>
    <w:rsid w:val="0033459E"/>
    <w:rsid w:val="00334A6F"/>
    <w:rsid w:val="003A0F2A"/>
    <w:rsid w:val="003B1E7F"/>
    <w:rsid w:val="003E019A"/>
    <w:rsid w:val="00402415"/>
    <w:rsid w:val="00404F1C"/>
    <w:rsid w:val="00420C58"/>
    <w:rsid w:val="004743AB"/>
    <w:rsid w:val="004960BB"/>
    <w:rsid w:val="004E5093"/>
    <w:rsid w:val="005604E1"/>
    <w:rsid w:val="00573F47"/>
    <w:rsid w:val="005D7A22"/>
    <w:rsid w:val="006474D0"/>
    <w:rsid w:val="006B6A93"/>
    <w:rsid w:val="006E6390"/>
    <w:rsid w:val="006E6771"/>
    <w:rsid w:val="007043B6"/>
    <w:rsid w:val="00712885"/>
    <w:rsid w:val="007304BD"/>
    <w:rsid w:val="008816E0"/>
    <w:rsid w:val="008A7691"/>
    <w:rsid w:val="008B5371"/>
    <w:rsid w:val="009370C1"/>
    <w:rsid w:val="009653F9"/>
    <w:rsid w:val="00986822"/>
    <w:rsid w:val="009B6ADB"/>
    <w:rsid w:val="009C1D36"/>
    <w:rsid w:val="009E5B7A"/>
    <w:rsid w:val="00A31008"/>
    <w:rsid w:val="00AE4094"/>
    <w:rsid w:val="00B1267A"/>
    <w:rsid w:val="00B22150"/>
    <w:rsid w:val="00B3171C"/>
    <w:rsid w:val="00B72203"/>
    <w:rsid w:val="00BB5794"/>
    <w:rsid w:val="00BE1CC8"/>
    <w:rsid w:val="00C359A3"/>
    <w:rsid w:val="00C57568"/>
    <w:rsid w:val="00C57686"/>
    <w:rsid w:val="00C610F9"/>
    <w:rsid w:val="00C84394"/>
    <w:rsid w:val="00C85D87"/>
    <w:rsid w:val="00C91A0C"/>
    <w:rsid w:val="00CC129A"/>
    <w:rsid w:val="00CC1BA4"/>
    <w:rsid w:val="00DD2D6A"/>
    <w:rsid w:val="00DD6759"/>
    <w:rsid w:val="00DE0C7F"/>
    <w:rsid w:val="00DF689E"/>
    <w:rsid w:val="00E04AAF"/>
    <w:rsid w:val="00E338B8"/>
    <w:rsid w:val="00E4729A"/>
    <w:rsid w:val="00E5473E"/>
    <w:rsid w:val="00EB0730"/>
    <w:rsid w:val="00EB226A"/>
    <w:rsid w:val="00EF5B75"/>
    <w:rsid w:val="00F00951"/>
    <w:rsid w:val="00F26DCB"/>
    <w:rsid w:val="00F76BA5"/>
    <w:rsid w:val="00F87CAC"/>
    <w:rsid w:val="00F935E1"/>
    <w:rsid w:val="00FA3379"/>
    <w:rsid w:val="00FB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7545C"/>
  <w15:chartTrackingRefBased/>
  <w15:docId w15:val="{5F3A33E4-7744-4791-95A2-7634C5238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2C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32C6A"/>
    <w:rPr>
      <w:b/>
      <w:bCs/>
    </w:rPr>
  </w:style>
  <w:style w:type="character" w:styleId="Hyperlink">
    <w:name w:val="Hyperlink"/>
    <w:uiPriority w:val="99"/>
    <w:unhideWhenUsed/>
    <w:rsid w:val="007304BD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7304BD"/>
    <w:rPr>
      <w:color w:val="605E5C"/>
      <w:shd w:val="clear" w:color="auto" w:fill="E1DFDD"/>
    </w:rPr>
  </w:style>
  <w:style w:type="character" w:styleId="nfase">
    <w:name w:val="Emphasis"/>
    <w:uiPriority w:val="20"/>
    <w:qFormat/>
    <w:rsid w:val="003212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odelo%20de%20edital%20-%20SP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de edital - SP</Template>
  <TotalTime>5</TotalTime>
  <Pages>4</Pages>
  <Words>1190</Words>
  <Characters>6427</Characters>
  <Application>Microsoft Office Word</Application>
  <DocSecurity>4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7602</CharactersWithSpaces>
  <SharedDoc>false</SharedDoc>
  <HLinks>
    <vt:vector size="6" baseType="variant">
      <vt:variant>
        <vt:i4>3670071</vt:i4>
      </vt:variant>
      <vt:variant>
        <vt:i4>0</vt:i4>
      </vt:variant>
      <vt:variant>
        <vt:i4>0</vt:i4>
      </vt:variant>
      <vt:variant>
        <vt:i4>5</vt:i4>
      </vt:variant>
      <vt:variant>
        <vt:lpwstr>http://www.leilaobrasil.com.br/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 Paulo</dc:creator>
  <cp:keywords/>
  <dc:description/>
  <cp:lastModifiedBy>Leilão Brasil</cp:lastModifiedBy>
  <cp:revision>2</cp:revision>
  <dcterms:created xsi:type="dcterms:W3CDTF">2025-10-22T17:22:00Z</dcterms:created>
  <dcterms:modified xsi:type="dcterms:W3CDTF">2025-10-22T17:22:00Z</dcterms:modified>
</cp:coreProperties>
</file>