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CFF0" w14:textId="3F86631C" w:rsidR="00FD281F" w:rsidRDefault="00FD281F" w:rsidP="00831485">
      <w:pPr>
        <w:pStyle w:val="SemEspaamento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</w:t>
      </w:r>
      <w:r w:rsidRPr="00831485">
        <w:rPr>
          <w:rFonts w:ascii="Verdana" w:hAnsi="Verdana"/>
        </w:rPr>
        <w:t>28ª Vara Cível da Comarca da Capital do Estado do Rio de Janeiro</w:t>
      </w:r>
    </w:p>
    <w:p w14:paraId="48547CC1" w14:textId="77777777" w:rsidR="00FD281F" w:rsidRDefault="00FD281F" w:rsidP="00831485">
      <w:pPr>
        <w:pStyle w:val="SemEspaamento"/>
        <w:spacing w:line="360" w:lineRule="auto"/>
        <w:jc w:val="both"/>
        <w:rPr>
          <w:rFonts w:ascii="Verdana" w:hAnsi="Verdana"/>
        </w:rPr>
      </w:pPr>
    </w:p>
    <w:p w14:paraId="0CD87304" w14:textId="3F7B98B8" w:rsid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Edital de leilão de direitos e ações sobre bem imóvel e para intimação do Espólio de Edson Costa Teixeira, Edson Coelho Teixeira Junior, Rosaria Dias Teixeira e Aline Coelho Teixeira</w:t>
      </w:r>
      <w:r w:rsidR="00FD281F">
        <w:rPr>
          <w:rFonts w:ascii="Verdana" w:hAnsi="Verdana"/>
        </w:rPr>
        <w:t xml:space="preserve">, bem como </w:t>
      </w:r>
      <w:r w:rsidR="00FD281F" w:rsidRPr="00FD281F">
        <w:rPr>
          <w:rFonts w:ascii="Verdana" w:hAnsi="Verdana"/>
        </w:rPr>
        <w:t>Real e Benemérita Sociedade Portuguesa de Beneficência do Rio de Janeiro</w:t>
      </w:r>
      <w:r w:rsidRPr="00831485">
        <w:rPr>
          <w:rFonts w:ascii="Verdana" w:hAnsi="Verdana"/>
        </w:rPr>
        <w:t xml:space="preserve"> expedido nos autos da ação de Cumprimento de Sentença, que lhes requer Condomínio Rivoli Tanagra. Processo nº 0022327-58.2005.8.19.0001 </w:t>
      </w:r>
    </w:p>
    <w:p w14:paraId="63E0A47E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</w:p>
    <w:p w14:paraId="66C1071D" w14:textId="77777777" w:rsid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A Dra. Marcia Regina Sales Cardoso de Oliveira, Juíza de Direito da 28ª Vara Cível da Comarca da Capital do Estado do Rio de Janeiro, na forma da lei, etc.</w:t>
      </w:r>
    </w:p>
    <w:p w14:paraId="490DD88A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</w:p>
    <w:p w14:paraId="163AD940" w14:textId="77777777" w:rsid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 xml:space="preserve">Faz Saber que a Leiloeira Oficial, Sra. Irani Flores, JUCERJA nº 311 e JUCESP nº 792, levará a leilão público para venda e arrematação, no local e horário descritos no site, com transmissão pela internet e disponibilização no portal de leilões eletrônicos, </w:t>
      </w:r>
      <w:hyperlink r:id="rId4" w:history="1">
        <w:r w:rsidRPr="00831485">
          <w:rPr>
            <w:rStyle w:val="Hyperlink"/>
            <w:rFonts w:ascii="Verdana" w:hAnsi="Verdana"/>
          </w:rPr>
          <w:t>www.leilaobrasil.com.br</w:t>
        </w:r>
      </w:hyperlink>
      <w:r w:rsidRPr="00831485">
        <w:rPr>
          <w:rFonts w:ascii="Verdana" w:hAnsi="Verdana"/>
        </w:rPr>
        <w:t>.</w:t>
      </w:r>
    </w:p>
    <w:p w14:paraId="26F6F9E4" w14:textId="77777777" w:rsid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</w:p>
    <w:p w14:paraId="6AAD2D6F" w14:textId="79886C4A" w:rsid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A406FA">
        <w:rPr>
          <w:rFonts w:ascii="Verdana" w:hAnsi="Verdana"/>
        </w:rPr>
        <w:t>Do início e encerramento do Leilão: </w:t>
      </w:r>
      <w:bookmarkStart w:id="0" w:name="_Hlk208913367"/>
      <w:r w:rsidRPr="00A406FA">
        <w:rPr>
          <w:rFonts w:ascii="Verdana" w:hAnsi="Verdana"/>
        </w:rPr>
        <w:t xml:space="preserve">Início do 1° leilão em  </w:t>
      </w:r>
      <w:r>
        <w:rPr>
          <w:rFonts w:ascii="Verdana" w:hAnsi="Verdana"/>
        </w:rPr>
        <w:t>15/12</w:t>
      </w:r>
      <w:r w:rsidRPr="00A406FA">
        <w:rPr>
          <w:rFonts w:ascii="Verdana" w:hAnsi="Verdana"/>
        </w:rPr>
        <w:t>/2026 às 10:</w:t>
      </w:r>
      <w:r>
        <w:rPr>
          <w:rFonts w:ascii="Verdana" w:hAnsi="Verdana"/>
        </w:rPr>
        <w:t>43</w:t>
      </w:r>
      <w:r w:rsidRPr="00A406FA">
        <w:rPr>
          <w:rFonts w:ascii="Verdana" w:hAnsi="Verdana"/>
        </w:rPr>
        <w:t xml:space="preserve"> horas e encerramento do 1° leilão em </w:t>
      </w:r>
      <w:r>
        <w:rPr>
          <w:rFonts w:ascii="Verdana" w:hAnsi="Verdana"/>
        </w:rPr>
        <w:t>18/12/</w:t>
      </w:r>
      <w:r w:rsidRPr="00A406FA">
        <w:rPr>
          <w:rFonts w:ascii="Verdana" w:hAnsi="Verdana"/>
        </w:rPr>
        <w:t>2026 às 10:</w:t>
      </w:r>
      <w:r>
        <w:rPr>
          <w:rFonts w:ascii="Verdana" w:hAnsi="Verdana"/>
        </w:rPr>
        <w:t xml:space="preserve">43 </w:t>
      </w:r>
      <w:r w:rsidRPr="00A406FA">
        <w:rPr>
          <w:rFonts w:ascii="Verdana" w:hAnsi="Verdana"/>
        </w:rPr>
        <w:t xml:space="preserve">horas, em não havendo lance igual ou superior ao valor da avaliação atualizada para a data supra, seguir-se-á sem interrupção o 2° leilão que se encerrará em </w:t>
      </w:r>
      <w:r>
        <w:rPr>
          <w:rFonts w:ascii="Verdana" w:hAnsi="Verdana"/>
        </w:rPr>
        <w:t>21/01/2027</w:t>
      </w:r>
      <w:r w:rsidRPr="00A406FA">
        <w:rPr>
          <w:rFonts w:ascii="Verdana" w:hAnsi="Verdana"/>
        </w:rPr>
        <w:t> às 10:</w:t>
      </w:r>
      <w:r>
        <w:rPr>
          <w:rFonts w:ascii="Verdana" w:hAnsi="Verdana"/>
        </w:rPr>
        <w:t>43</w:t>
      </w:r>
      <w:r w:rsidRPr="00A406FA">
        <w:rPr>
          <w:rFonts w:ascii="Verdana" w:hAnsi="Verdana"/>
        </w:rPr>
        <w:t xml:space="preserve">  horas</w:t>
      </w:r>
      <w:bookmarkEnd w:id="0"/>
      <w:r>
        <w:rPr>
          <w:rFonts w:ascii="Verdana" w:hAnsi="Verdana"/>
        </w:rPr>
        <w:t xml:space="preserve"> </w:t>
      </w:r>
      <w:r w:rsidRPr="007B46A7">
        <w:rPr>
          <w:rFonts w:ascii="Verdana" w:hAnsi="Verdana"/>
        </w:rPr>
        <w:t>não sendo aceito lances inferiores a 50% do valor da avaliação atualizada pelos índices do TJ-SP para a data da abertura do leilão, que deverá ser efetuado diretamente no sistema gestor através da internet</w:t>
      </w:r>
      <w:r w:rsidRPr="00831485">
        <w:rPr>
          <w:rFonts w:ascii="Verdana" w:hAnsi="Verdana"/>
        </w:rPr>
        <w:t>.</w:t>
      </w:r>
    </w:p>
    <w:p w14:paraId="54E7B825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</w:p>
    <w:p w14:paraId="6968F416" w14:textId="77777777" w:rsidR="009A3936" w:rsidRPr="009A3936" w:rsidRDefault="009A3936" w:rsidP="009A3936">
      <w:pPr>
        <w:pStyle w:val="SemEspaamento"/>
        <w:spacing w:line="360" w:lineRule="auto"/>
        <w:jc w:val="both"/>
        <w:rPr>
          <w:rFonts w:ascii="Verdana" w:hAnsi="Verdana"/>
        </w:rPr>
      </w:pPr>
      <w:r w:rsidRPr="009A3936">
        <w:rPr>
          <w:rFonts w:ascii="Verdana" w:hAnsi="Verdana"/>
        </w:rPr>
        <w:t xml:space="preserve">Bem: Direitos e ações penhorados sobre o apartamento 907 do edifício situado na Rua Evaristo da Veiga nº 47 e 47-A, com frente também pela Rua Senador Dantas nºs 45, 45-A e 45-B, comercial e residencial, </w:t>
      </w:r>
      <w:r w:rsidRPr="009A3936">
        <w:rPr>
          <w:rFonts w:ascii="Verdana" w:hAnsi="Verdana"/>
        </w:rPr>
        <w:lastRenderedPageBreak/>
        <w:t>na freguesia de São José, e a correspondente fração ideal de 0,8881% do terreno que mede: de frente pela Rua Senador Dantas, 20,00m; lado direito, 96,05m, em linha quebrada de 3 segmentos retilíneos, respectivamente de 49,75m, 44,20m e 2,10m; lado esquerdo, 73,51m, em linha quebrada de 3 segmentos retilíneos, respectivamente de 56,86m, 8,90m e 7,75m; e finalmente 65,30m na linha dos fundos. O terreno é próprio na parte onde existiram os prédios da Rua Senador Dantas nºs 43 e 45, antigos 27-F e 47 e antes 27-G, e foreiro ao Convento da Ajuda na parte onde existiu o prédio da Rua Evaristo da Veiga nº 47, antigo 9, confrontando na frente com a Rua Senador Dantas; de um lado, com terrenos dos prédios da Rua Senador Dantas nºs 41, 39, 37, 35, 33 e 31; do outro lado, com terreno dos prédios da Rua Senador Dantas nº 49 e Rua Evaristo da Veiga nº 41, com terreno do prédio da Rua Evaristo da Veiga nº 45 e Rua Evaristo da Veiga; e, nos fundos, com terreno do prédio da Rua Evaristo da Veiga nº 49. Matrícula nº 33.575 do 7º Ofício de Registro de Imóveis do Rio de Janeiro/RJ. Inscrição Municipal nº 1.713.855-3.</w:t>
      </w:r>
    </w:p>
    <w:p w14:paraId="7A68DC1C" w14:textId="77777777" w:rsidR="009A3936" w:rsidRPr="009A3936" w:rsidRDefault="009A3936" w:rsidP="009A3936">
      <w:pPr>
        <w:pStyle w:val="SemEspaamento"/>
        <w:spacing w:line="360" w:lineRule="auto"/>
        <w:jc w:val="both"/>
        <w:rPr>
          <w:rFonts w:ascii="Verdana" w:hAnsi="Verdana"/>
        </w:rPr>
      </w:pPr>
      <w:r w:rsidRPr="009A3936">
        <w:rPr>
          <w:rFonts w:ascii="Verdana" w:hAnsi="Verdana"/>
        </w:rPr>
        <w:t>Conforme laudo de avaliação indireta, a unidade é descrita como sala comercial nº 907, possui área de 75 m² e integra edifício de destinação comercial situado na região central do Município do Rio de Janeiro.</w:t>
      </w:r>
    </w:p>
    <w:p w14:paraId="4E74C014" w14:textId="5920ABF6" w:rsid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Ônus: Conforme matrícula atualizada, constam os seguintes registros de penhora: R.03, oriunda da 5ª Vara da Fazenda Pública; R.04, nos autos da Execução Fiscal nº 2003.120.062280-1; R.05, nos autos da Execução Fiscal nº 2004.120.050530-6; R.06, vinculada à 12ª Vara da Fazenda Pública do Rio de Janeiro; R.08, penhora objeto da presente execução; e R.09, vinculada ao Ofício nº 755402/2021/OF. Os ônus deverão ser conferidos conforme o teor integral da matrícula atualizada.</w:t>
      </w:r>
      <w:r w:rsidR="009A3936">
        <w:rPr>
          <w:rFonts w:ascii="Verdana" w:hAnsi="Verdana"/>
        </w:rPr>
        <w:t xml:space="preserve"> </w:t>
      </w:r>
      <w:r w:rsidRPr="00831485">
        <w:rPr>
          <w:rFonts w:ascii="Verdana" w:hAnsi="Verdana"/>
        </w:rPr>
        <w:t>Débitos condominiais: Consta nos autos cálculo de liquidação de dívida condominial referente à sala 907, relativo ao período de 05/03/2000 a 05/08/2022, no valor de R$ 959.978,21, conforme demonstrativo juntado aos autos, sujeito à confirmação de eventual atualização posterior.</w:t>
      </w:r>
      <w:r w:rsidR="009A3936">
        <w:rPr>
          <w:rFonts w:ascii="Verdana" w:hAnsi="Verdana"/>
        </w:rPr>
        <w:t xml:space="preserve"> </w:t>
      </w:r>
      <w:r w:rsidRPr="00831485">
        <w:rPr>
          <w:rFonts w:ascii="Verdana" w:hAnsi="Verdana"/>
        </w:rPr>
        <w:t xml:space="preserve">Débitos de Dívida Ativa Municipal: </w:t>
      </w:r>
      <w:r w:rsidRPr="00831485">
        <w:rPr>
          <w:rFonts w:ascii="Verdana" w:hAnsi="Verdana"/>
        </w:rPr>
        <w:lastRenderedPageBreak/>
        <w:t xml:space="preserve">Conforme documento emitido pela Procuradoria da Dívida Ativa do Município do Rio de Janeiro, referente à inscrição imobiliária nº 1.713.855-3, consta a Certidão nº 2026/1018135, no valor de R$ 281.903,30. </w:t>
      </w:r>
      <w:r w:rsidR="009A3936">
        <w:rPr>
          <w:rFonts w:ascii="Verdana" w:hAnsi="Verdana"/>
        </w:rPr>
        <w:t>(out/2026)</w:t>
      </w:r>
    </w:p>
    <w:p w14:paraId="461C83C6" w14:textId="77777777" w:rsidR="009A3936" w:rsidRDefault="009A3936" w:rsidP="00831485">
      <w:pPr>
        <w:pStyle w:val="SemEspaamento"/>
        <w:spacing w:line="360" w:lineRule="auto"/>
        <w:jc w:val="both"/>
        <w:rPr>
          <w:rFonts w:ascii="Verdana" w:hAnsi="Verdana"/>
        </w:rPr>
      </w:pPr>
    </w:p>
    <w:p w14:paraId="4D9B53D1" w14:textId="77777777" w:rsidR="00FD281F" w:rsidRPr="00FD281F" w:rsidRDefault="00FD281F" w:rsidP="00FD281F">
      <w:pPr>
        <w:pStyle w:val="SemEspaamento"/>
        <w:spacing w:line="360" w:lineRule="auto"/>
        <w:jc w:val="both"/>
        <w:rPr>
          <w:rFonts w:ascii="Verdana" w:hAnsi="Verdana"/>
        </w:rPr>
      </w:pPr>
      <w:r w:rsidRPr="00FD281F">
        <w:rPr>
          <w:rFonts w:ascii="Verdana" w:hAnsi="Verdana"/>
        </w:rPr>
        <w:t>Avalio o bem imóvel, indiretamente, em R$ 267.000,00</w:t>
      </w:r>
    </w:p>
    <w:p w14:paraId="51D59361" w14:textId="2DF5E693" w:rsidR="009A3936" w:rsidRPr="00831485" w:rsidRDefault="009A3936" w:rsidP="009A3936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(</w:t>
      </w:r>
      <w:r>
        <w:rPr>
          <w:rFonts w:ascii="Verdana" w:hAnsi="Verdana"/>
        </w:rPr>
        <w:t>jul</w:t>
      </w:r>
      <w:r w:rsidRPr="00831485">
        <w:rPr>
          <w:rFonts w:ascii="Verdana" w:hAnsi="Verdana"/>
        </w:rPr>
        <w:t>/2022</w:t>
      </w:r>
      <w:r>
        <w:rPr>
          <w:rFonts w:ascii="Verdana" w:hAnsi="Verdana"/>
        </w:rPr>
        <w:t>)</w:t>
      </w:r>
    </w:p>
    <w:p w14:paraId="40B03FFF" w14:textId="77777777" w:rsidR="009A3936" w:rsidRPr="00831485" w:rsidRDefault="009A3936" w:rsidP="00831485">
      <w:pPr>
        <w:pStyle w:val="SemEspaamento"/>
        <w:spacing w:line="360" w:lineRule="auto"/>
        <w:jc w:val="both"/>
        <w:rPr>
          <w:rFonts w:ascii="Verdana" w:hAnsi="Verdana"/>
        </w:rPr>
      </w:pPr>
    </w:p>
    <w:p w14:paraId="6FF99DAC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Quem pode ofertar lances: É permitido aos interessados ofertar lances diretamente no sistema gestor, desde que cadastrados e habilitados com antecedência mínima de 24 horas do encerramento do leilão, exceto aqueles que se enquadrem no artigo 890 do Código de Processo Civil, ainda que cadastrados e habilitados no sistema.</w:t>
      </w:r>
    </w:p>
    <w:p w14:paraId="5622CA97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Da prorrogação do leilão: Sobrevindo lance a menos de três minutos para o encerramento, o sistema prorrogará automaticamente o leilão por mais três minutos, sucessivamente, para que todos tenham as mesmas oportunidades.</w:t>
      </w:r>
    </w:p>
    <w:p w14:paraId="0FC2ED7B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Da comissão: A comissão da Leiloeira será de 5% sobre o valor da arrematação, não estando incluída no valor da arrematação e devendo ser paga diretamente à Leiloeira.</w:t>
      </w:r>
    </w:p>
    <w:p w14:paraId="441D4D5E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Da adjudicação: Condicionada aos termos dos artigos 876 e 892, § 1º, do Código de Processo Civil.</w:t>
      </w:r>
    </w:p>
    <w:p w14:paraId="332DE624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Do pagamento: O arrematante deverá efetuar o pagamento da arrematação e da comissão no prazo e na forma determinados judicialmente e nas condições divulgadas pela Leiloeira.</w:t>
      </w:r>
    </w:p>
    <w:p w14:paraId="02E2C880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Do pagamento parcelado: O parcelamento da arrematação observará o artigo 895 do Código de Processo Civil e as disposições aplicáveis da Resolução nº 236/2016 do Conselho Nacional de Justiça, bem como a decisão proferida nos autos, devendo o interessado observar as regras relativas à entrada, às parcelas, às garantias e à atualização das parcelas vincendas.</w:t>
      </w:r>
    </w:p>
    <w:p w14:paraId="51328CAC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lastRenderedPageBreak/>
        <w:t>Das garantias: Os direitos e ações serão alienados no estado em que se encontram, cabendo exclusivamente aos interessados verificar as condições físicas, registrais e processuais antes de ofertar lances, ressaltando-se que as visitações nem sempre são possíveis, uma vez que o bem pode se encontrar na posse dos executados ou de terceiros.</w:t>
      </w:r>
    </w:p>
    <w:p w14:paraId="1B4B88D7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Responsabilidades e outras despesas: Correrão por conta do arrematante as despesas necessárias à transferência patrimonial e à regularização dos direitos arrematados, observadas as disposições legais aplicáveis, especialmente o artigo 130, parágrafo único, do Código Tributário Nacional, e o artigo 908, § 1º, do Código de Processo Civil.</w:t>
      </w:r>
    </w:p>
    <w:p w14:paraId="3BCD6F3B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Recursos: A existência de recursos ou causas pendentes de julgamento deverá ser conferida nos autos antes da publicação.</w:t>
      </w:r>
    </w:p>
    <w:p w14:paraId="5330FD14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Da carta de arrematação: A carta de arrematação será expedida pelo Juízo, observados os artigos 901 e 903 do Código de Processo Civil, conforme a natureza dos direitos alienados e a decisão proferida nos autos.</w:t>
      </w:r>
    </w:p>
    <w:p w14:paraId="1969CF85" w14:textId="77777777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 xml:space="preserve">Dúvidas e esclarecimentos: Poderão ser obtidos perante o Cartório da 28ª Vara Cível da Comarca da Capital do Estado do Rio de Janeiro, situado na Avenida Erasmo Braga, nº 115, 3º andar, salas 326/330D, Centro, Rio de Janeiro/RJ, telefone (21) 2588-2142, e-mail </w:t>
      </w:r>
      <w:hyperlink r:id="rId5" w:history="1">
        <w:r w:rsidRPr="00831485">
          <w:rPr>
            <w:rStyle w:val="Hyperlink"/>
            <w:rFonts w:ascii="Verdana" w:hAnsi="Verdana"/>
          </w:rPr>
          <w:t>cap28vciv@tjrj.jus.br</w:t>
        </w:r>
      </w:hyperlink>
      <w:r w:rsidRPr="00831485">
        <w:rPr>
          <w:rFonts w:ascii="Verdana" w:hAnsi="Verdana"/>
        </w:rPr>
        <w:t xml:space="preserve">, ou junto à Leiloeira Oficial, Sra. Irani Flores, pelo telefone (11) 3965-0000, WhatsApp (21) 95949-5151 e e-mail </w:t>
      </w:r>
      <w:hyperlink r:id="rId6" w:history="1">
        <w:r w:rsidRPr="00831485">
          <w:rPr>
            <w:rStyle w:val="Hyperlink"/>
            <w:rFonts w:ascii="Verdana" w:hAnsi="Verdana"/>
          </w:rPr>
          <w:t>irani.flores@leilaobrasil.com.br</w:t>
        </w:r>
      </w:hyperlink>
      <w:r w:rsidRPr="00831485">
        <w:rPr>
          <w:rFonts w:ascii="Verdana" w:hAnsi="Verdana"/>
        </w:rPr>
        <w:t>.</w:t>
      </w:r>
    </w:p>
    <w:p w14:paraId="528CED80" w14:textId="7BF201F1" w:rsidR="00831485" w:rsidRPr="00831485" w:rsidRDefault="00831485" w:rsidP="00831485">
      <w:pPr>
        <w:pStyle w:val="SemEspaamento"/>
        <w:spacing w:line="360" w:lineRule="auto"/>
        <w:jc w:val="both"/>
        <w:rPr>
          <w:rFonts w:ascii="Verdana" w:hAnsi="Verdana"/>
        </w:rPr>
      </w:pPr>
      <w:r w:rsidRPr="00831485">
        <w:rPr>
          <w:rFonts w:ascii="Verdana" w:hAnsi="Verdana"/>
        </w:rPr>
        <w:t>Ficam os executados e eventuais interessados intimados das designações supra, caso não sejam localizados para intimação pessoal, observadas as disposições legais aplicáveis, especialmente os artigos 889 e 887, § 2º, do Código de Processo Civil.</w:t>
      </w:r>
      <w:r w:rsidR="00FD281F">
        <w:rPr>
          <w:rFonts w:ascii="Verdana" w:hAnsi="Verdana"/>
        </w:rPr>
        <w:t xml:space="preserve"> </w:t>
      </w:r>
      <w:r w:rsidRPr="00831485">
        <w:rPr>
          <w:rFonts w:ascii="Verdana" w:hAnsi="Verdana"/>
        </w:rPr>
        <w:t xml:space="preserve">Rio de Janeiro/RJ, </w:t>
      </w:r>
      <w:r w:rsidR="00FD281F">
        <w:rPr>
          <w:rFonts w:ascii="Verdana" w:hAnsi="Verdana"/>
        </w:rPr>
        <w:t>20 de outubro de 2026</w:t>
      </w:r>
    </w:p>
    <w:sectPr w:rsidR="00831485" w:rsidRPr="008314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54"/>
    <w:rsid w:val="0001038E"/>
    <w:rsid w:val="0005482F"/>
    <w:rsid w:val="0007029C"/>
    <w:rsid w:val="00095F4C"/>
    <w:rsid w:val="000C55D2"/>
    <w:rsid w:val="00162517"/>
    <w:rsid w:val="001D31E3"/>
    <w:rsid w:val="001E01D5"/>
    <w:rsid w:val="001E0455"/>
    <w:rsid w:val="00213268"/>
    <w:rsid w:val="00226567"/>
    <w:rsid w:val="002649A6"/>
    <w:rsid w:val="002B1030"/>
    <w:rsid w:val="002F6236"/>
    <w:rsid w:val="0031788F"/>
    <w:rsid w:val="003B5C1C"/>
    <w:rsid w:val="003C6DBB"/>
    <w:rsid w:val="003F2D88"/>
    <w:rsid w:val="004946F0"/>
    <w:rsid w:val="004C415B"/>
    <w:rsid w:val="004E3F92"/>
    <w:rsid w:val="004F0652"/>
    <w:rsid w:val="004F3121"/>
    <w:rsid w:val="004F66F6"/>
    <w:rsid w:val="00660C7D"/>
    <w:rsid w:val="006771AA"/>
    <w:rsid w:val="00685617"/>
    <w:rsid w:val="007138C1"/>
    <w:rsid w:val="00783FAA"/>
    <w:rsid w:val="007A0BC5"/>
    <w:rsid w:val="007E54E8"/>
    <w:rsid w:val="007F3384"/>
    <w:rsid w:val="00800A8C"/>
    <w:rsid w:val="00831485"/>
    <w:rsid w:val="0085786B"/>
    <w:rsid w:val="008F7E35"/>
    <w:rsid w:val="00917AD1"/>
    <w:rsid w:val="00965B54"/>
    <w:rsid w:val="009872EC"/>
    <w:rsid w:val="009A0111"/>
    <w:rsid w:val="009A3936"/>
    <w:rsid w:val="009B4D06"/>
    <w:rsid w:val="00AA6340"/>
    <w:rsid w:val="00AD266E"/>
    <w:rsid w:val="00AE136B"/>
    <w:rsid w:val="00B239B0"/>
    <w:rsid w:val="00B56C02"/>
    <w:rsid w:val="00BD20AC"/>
    <w:rsid w:val="00C97015"/>
    <w:rsid w:val="00CC368D"/>
    <w:rsid w:val="00CD17E3"/>
    <w:rsid w:val="00CD237F"/>
    <w:rsid w:val="00CE1EDC"/>
    <w:rsid w:val="00D177FD"/>
    <w:rsid w:val="00D5373E"/>
    <w:rsid w:val="00D66C24"/>
    <w:rsid w:val="00DB021F"/>
    <w:rsid w:val="00DE407E"/>
    <w:rsid w:val="00E84A16"/>
    <w:rsid w:val="00E87068"/>
    <w:rsid w:val="00EA2792"/>
    <w:rsid w:val="00EE6C4C"/>
    <w:rsid w:val="00EF2EF8"/>
    <w:rsid w:val="00EF3DA8"/>
    <w:rsid w:val="00F17636"/>
    <w:rsid w:val="00F27C51"/>
    <w:rsid w:val="00FD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AA01"/>
  <w15:chartTrackingRefBased/>
  <w15:docId w15:val="{BA09F06B-3346-4513-B3D4-1DD5E7F7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5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5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5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5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5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5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5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5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5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5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5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5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5B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5B5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5B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5B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5B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5B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5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5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5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5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5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5B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5B5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5B5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5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5B5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5B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65B5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65B54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965B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rani.flores@leilaobrasil.com.br" TargetMode="External"/><Relationship Id="rId5" Type="http://schemas.openxmlformats.org/officeDocument/2006/relationships/hyperlink" Target="mailto:cap28vciv@tjrj.jus.br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1133</Words>
  <Characters>6124</Characters>
  <Application>Microsoft Office Word</Application>
  <DocSecurity>4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 21</dc:creator>
  <cp:keywords/>
  <dc:description/>
  <cp:lastModifiedBy>Leilão Brasil</cp:lastModifiedBy>
  <cp:revision>2</cp:revision>
  <dcterms:created xsi:type="dcterms:W3CDTF">2026-10-26T19:09:00Z</dcterms:created>
  <dcterms:modified xsi:type="dcterms:W3CDTF">2026-10-26T19:09:00Z</dcterms:modified>
</cp:coreProperties>
</file>