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B387" w14:textId="77777777" w:rsidR="009A0EEA" w:rsidRDefault="009A0EEA" w:rsidP="009A0EEA">
      <w:pPr>
        <w:jc w:val="center"/>
      </w:pPr>
      <w:r>
        <w:t>EDITAL DE ALIENAÇÃO POR INICIATIVA PARTICULAR</w:t>
      </w:r>
    </w:p>
    <w:p w14:paraId="0D6E088E" w14:textId="77777777" w:rsidR="009A0EEA" w:rsidRDefault="009A0EEA" w:rsidP="009A0EEA">
      <w:pPr>
        <w:jc w:val="center"/>
      </w:pPr>
      <w:r>
        <w:t>PEDIDO DE PROVIDÊNCIAS N° 0000941-54.2022.2.00.0502</w:t>
      </w:r>
    </w:p>
    <w:p w14:paraId="514AE024" w14:textId="77777777" w:rsidR="009A0EEA" w:rsidRDefault="009A0EEA" w:rsidP="009A0EEA">
      <w:pPr>
        <w:jc w:val="center"/>
      </w:pPr>
      <w:r>
        <w:t>PROCESSO PILOTO N° 1000094-31.2018.5.02.0385</w:t>
      </w:r>
    </w:p>
    <w:p w14:paraId="3046C42F" w14:textId="77777777" w:rsidR="009A0EEA" w:rsidRDefault="009A0EEA" w:rsidP="009A0EEA">
      <w:pPr>
        <w:jc w:val="both"/>
      </w:pPr>
    </w:p>
    <w:p w14:paraId="42C5B162" w14:textId="77777777" w:rsidR="009A0EEA" w:rsidRDefault="009A0EEA" w:rsidP="009A0EEA">
      <w:pPr>
        <w:jc w:val="both"/>
      </w:pPr>
    </w:p>
    <w:p w14:paraId="77191561" w14:textId="77777777" w:rsidR="009A0EEA" w:rsidRDefault="009A0EEA" w:rsidP="00D11BB4">
      <w:pPr>
        <w:ind w:firstLine="1560"/>
        <w:jc w:val="both"/>
      </w:pPr>
      <w:r>
        <w:t>ITALO MENEZES DE CASTRO, Juiz do Trabalho em exercício no</w:t>
      </w:r>
      <w:r>
        <w:t xml:space="preserve"> </w:t>
      </w:r>
      <w:r>
        <w:t>Juízo Auxiliar em</w:t>
      </w:r>
      <w:r>
        <w:t xml:space="preserve"> </w:t>
      </w:r>
      <w:r>
        <w:t>Execução do Tribunal Regional do Trabalho da 2ª Região, FAZ SABER, a</w:t>
      </w:r>
      <w:r>
        <w:t xml:space="preserve"> </w:t>
      </w:r>
      <w:r>
        <w:t>quantos o presente virem ou dele tiverem conhecimento, que, no Processo Piloto de nº</w:t>
      </w:r>
      <w:r>
        <w:t xml:space="preserve"> </w:t>
      </w:r>
      <w:r>
        <w:t>1000094-31.2018.5.02.0385 foi determinada a expropriação do imóvel descrito na</w:t>
      </w:r>
      <w:r>
        <w:t xml:space="preserve"> </w:t>
      </w:r>
      <w:r>
        <w:t>matrícula nº 23.243 do 1º Oficial de Registro de Imóveis de Osasco (SP) na modalidade</w:t>
      </w:r>
      <w:r>
        <w:t xml:space="preserve"> </w:t>
      </w:r>
      <w:r>
        <w:t>alienação por iniciativa particular, na forma do artigo 880 do CPC, subsidiariamente</w:t>
      </w:r>
      <w:r>
        <w:t xml:space="preserve"> </w:t>
      </w:r>
      <w:r>
        <w:t>aplicável (art. 769 da CLT), e do Provimento GP/CR n. 4/2020.</w:t>
      </w:r>
      <w:r>
        <w:t xml:space="preserve"> </w:t>
      </w:r>
    </w:p>
    <w:p w14:paraId="63BFC06B" w14:textId="77777777" w:rsidR="009A0EEA" w:rsidRDefault="009A0EEA" w:rsidP="00D11BB4">
      <w:pPr>
        <w:ind w:firstLine="1560"/>
        <w:jc w:val="both"/>
      </w:pPr>
      <w:r>
        <w:t>O imóvel possui as seguintes características extraídas da</w:t>
      </w:r>
      <w:r>
        <w:t xml:space="preserve"> </w:t>
      </w:r>
      <w:r>
        <w:t>REAVALIAÇÃO Id 6cfc99c:</w:t>
      </w:r>
      <w:r>
        <w:t xml:space="preserve"> </w:t>
      </w:r>
    </w:p>
    <w:p w14:paraId="0A3D7794" w14:textId="77777777" w:rsidR="009A0EEA" w:rsidRDefault="009A0EEA" w:rsidP="009A0EEA">
      <w:pPr>
        <w:jc w:val="both"/>
      </w:pPr>
      <w:r>
        <w:t>Uma quadra de forma irregular, situada nesta cidade, com</w:t>
      </w:r>
      <w:r>
        <w:t xml:space="preserve"> </w:t>
      </w:r>
      <w:r>
        <w:t>frente para a Avenida 1 e assim se descreve: Começa no limite da Avenida dos</w:t>
      </w:r>
      <w:r>
        <w:t xml:space="preserve"> </w:t>
      </w:r>
      <w:r>
        <w:t>Autonomistas, 780, e segue em linha reta rumo NE 17° 25’, percorrendo a distância de</w:t>
      </w:r>
      <w:r>
        <w:t xml:space="preserve"> </w:t>
      </w:r>
      <w:r>
        <w:t>488,18m até o ponto EL; no ponto EL deflete à direita rumo SE 72° 44’, percorrendo a</w:t>
      </w:r>
      <w:r>
        <w:t xml:space="preserve"> </w:t>
      </w:r>
      <w:r>
        <w:t>distância de 50,57m, em linha reta até o ponto denominado 19; no ponto 19 deflete</w:t>
      </w:r>
      <w:r>
        <w:t xml:space="preserve"> </w:t>
      </w:r>
      <w:r>
        <w:t>ligeiramente à esquerda em linha suavemente quebrada, rumo NE e percorre a</w:t>
      </w:r>
      <w:r>
        <w:t xml:space="preserve"> </w:t>
      </w:r>
      <w:r>
        <w:t>distância de 34,00m até o ponto P; no ponto P a divisa deflete novamente à esquerda e</w:t>
      </w:r>
      <w:r>
        <w:t xml:space="preserve"> </w:t>
      </w:r>
      <w:r>
        <w:t>segue em linha reta rumo NE 18° 06’, percorrendo 37,88m até o ponto Q, continuando</w:t>
      </w:r>
      <w:r>
        <w:t xml:space="preserve"> </w:t>
      </w:r>
      <w:r>
        <w:t>no mesmo rumo 15° 35’ até o ponto R, percorrendo 137,35m; no ponto R a divisa</w:t>
      </w:r>
      <w:r>
        <w:t xml:space="preserve"> </w:t>
      </w:r>
      <w:r>
        <w:t>deflete à esquerda rumo NW 70° 58’ 12’, percorrendo 62,10m até o ponto S; do ponto</w:t>
      </w:r>
      <w:r>
        <w:t xml:space="preserve"> </w:t>
      </w:r>
      <w:r>
        <w:t>inicial até o ponto S a divisa confronta com terrenos da Urbanizadora Continental S/A;</w:t>
      </w:r>
      <w:r>
        <w:t xml:space="preserve"> </w:t>
      </w:r>
      <w:r>
        <w:t>do ponto S segue em linha reta de 20,15m confrontando com área verde do</w:t>
      </w:r>
      <w:r>
        <w:t xml:space="preserve"> </w:t>
      </w:r>
      <w:r>
        <w:t>loteamento industrial; daí segue em reta 38,27m, confrontando com o lote 16 da</w:t>
      </w:r>
      <w:r>
        <w:t xml:space="preserve"> </w:t>
      </w:r>
      <w:r>
        <w:t>quadra B do loteamento industrial; desse ponto deflete à esquerda e segue em linha</w:t>
      </w:r>
      <w:r>
        <w:t xml:space="preserve"> </w:t>
      </w:r>
      <w:r>
        <w:t>reta por 636,53m, no rumo 13° 22’ 45” SE até a Avenida dos Autonomistas</w:t>
      </w:r>
      <w:r>
        <w:t xml:space="preserve"> </w:t>
      </w:r>
      <w:r>
        <w:t xml:space="preserve">confrontando com terrenos da </w:t>
      </w:r>
      <w:proofErr w:type="spellStart"/>
      <w:r>
        <w:t>Comabra</w:t>
      </w:r>
      <w:proofErr w:type="spellEnd"/>
      <w:r>
        <w:t xml:space="preserve"> – Cia de Alimentos do Brasil S/A; Desse ponto</w:t>
      </w:r>
      <w:r>
        <w:t xml:space="preserve"> </w:t>
      </w:r>
      <w:r>
        <w:t>a divisa deflete à esquerda segue por 60,93m, no rumo 24° 27’ 57” SE até encontrar</w:t>
      </w:r>
      <w:r>
        <w:t xml:space="preserve"> </w:t>
      </w:r>
      <w:r>
        <w:t>com o ponto inicial da descrição confrontando neste último trajeto com a referida via pública, encerrando a área de 40.453,88m². CADASTRO ATUAL</w:t>
      </w:r>
      <w:r>
        <w:t xml:space="preserve"> </w:t>
      </w:r>
      <w:r>
        <w:t>23242.22.79.0001.00.00.02. R. 3 – … o proprietário vendeu o imóvel matriculado… à FIO</w:t>
      </w:r>
      <w:r>
        <w:t xml:space="preserve"> </w:t>
      </w:r>
      <w:r>
        <w:t>– FUNDAÇÃO INSTITUTO DE ENSINO PARA OSASCO… Av. 5 – … a Avenida 1 constante</w:t>
      </w:r>
      <w:r>
        <w:t xml:space="preserve"> </w:t>
      </w:r>
      <w:r>
        <w:t xml:space="preserve">desta matrícula passou a denominar-se Avenida Franz </w:t>
      </w:r>
      <w:proofErr w:type="spellStart"/>
      <w:r>
        <w:t>Voegeli</w:t>
      </w:r>
      <w:proofErr w:type="spellEnd"/>
      <w:r>
        <w:t>." IMÓVEL REAAVALIADO</w:t>
      </w:r>
      <w:r>
        <w:t xml:space="preserve"> </w:t>
      </w:r>
      <w:r>
        <w:t>EM suas benfeitorias, em R$ 300.570.000,00 (TREZENTOS MILHÕES, QUINHENTOS E</w:t>
      </w:r>
      <w:r>
        <w:t xml:space="preserve"> </w:t>
      </w:r>
      <w:r>
        <w:t>SETENTA MIL REAIS).</w:t>
      </w:r>
    </w:p>
    <w:p w14:paraId="30FB7DE0" w14:textId="5ABACBDF" w:rsidR="009A0EEA" w:rsidRDefault="009A0EEA" w:rsidP="00D11BB4">
      <w:pPr>
        <w:ind w:firstLine="1560"/>
        <w:jc w:val="both"/>
      </w:pPr>
      <w:r>
        <w:lastRenderedPageBreak/>
        <w:t xml:space="preserve">Local dos bens: Avenida Franz </w:t>
      </w:r>
      <w:proofErr w:type="spellStart"/>
      <w:r>
        <w:t>Voegeli</w:t>
      </w:r>
      <w:proofErr w:type="spellEnd"/>
      <w:r>
        <w:t>, nº 300, Vila Yara,</w:t>
      </w:r>
      <w:r>
        <w:t xml:space="preserve"> </w:t>
      </w:r>
      <w:r>
        <w:t>Continental, Osasco/SP.</w:t>
      </w:r>
    </w:p>
    <w:p w14:paraId="5239A9FC" w14:textId="4C1EFC14" w:rsidR="009A0EEA" w:rsidRPr="009A0EEA" w:rsidRDefault="009A0EEA" w:rsidP="00D11BB4">
      <w:pPr>
        <w:ind w:firstLine="1560"/>
        <w:jc w:val="both"/>
        <w:rPr>
          <w:b/>
          <w:bCs/>
        </w:rPr>
      </w:pPr>
      <w:r>
        <w:t>A alienação ocorrerá por intermédio dos leiloeiros judiciais</w:t>
      </w:r>
      <w:r>
        <w:t xml:space="preserve"> </w:t>
      </w:r>
      <w:r>
        <w:t>credenciados neste Regional (art. 2º, "caput" e I, do Prov. GP/CR n. 4/2020), que devem</w:t>
      </w:r>
      <w:r>
        <w:t xml:space="preserve"> </w:t>
      </w:r>
      <w:r>
        <w:t>ser cientificados, por correio eletrônico, para que, querendo, apresentem as eventuais</w:t>
      </w:r>
      <w:r>
        <w:t xml:space="preserve"> </w:t>
      </w:r>
      <w:r>
        <w:t>propostas de aquisição do bem. Os leiloeiros deverão divulgar a oferta do bem por</w:t>
      </w:r>
      <w:r>
        <w:t xml:space="preserve"> </w:t>
      </w:r>
      <w:r>
        <w:t>meio de seu sítio eletrônico na internet, nos mesmos moldes da divulgação realizada</w:t>
      </w:r>
      <w:r>
        <w:t xml:space="preserve"> </w:t>
      </w:r>
      <w:r>
        <w:t xml:space="preserve">para os leilões judiciais (art. 4º do Prov. GP/CR n. 4/2020). </w:t>
      </w:r>
      <w:r w:rsidRPr="009A0EEA">
        <w:rPr>
          <w:b/>
          <w:bCs/>
        </w:rPr>
        <w:t>As propostas deverão ser</w:t>
      </w:r>
      <w:r w:rsidRPr="009A0EEA">
        <w:rPr>
          <w:b/>
          <w:bCs/>
        </w:rPr>
        <w:t xml:space="preserve"> </w:t>
      </w:r>
      <w:r w:rsidRPr="009A0EEA">
        <w:rPr>
          <w:b/>
          <w:bCs/>
        </w:rPr>
        <w:t>apresentadas nos autos, com a atribuição de sigilo, a partir de 17/03/2026 até 05/05</w:t>
      </w:r>
      <w:r w:rsidRPr="009A0EEA">
        <w:rPr>
          <w:b/>
          <w:bCs/>
        </w:rPr>
        <w:t xml:space="preserve"> </w:t>
      </w:r>
      <w:r w:rsidRPr="009A0EEA">
        <w:rPr>
          <w:b/>
          <w:bCs/>
        </w:rPr>
        <w:t>/2026.</w:t>
      </w:r>
    </w:p>
    <w:p w14:paraId="7548B516" w14:textId="77777777" w:rsidR="009A0EEA" w:rsidRDefault="009A0EEA" w:rsidP="009A0EEA">
      <w:pPr>
        <w:jc w:val="both"/>
      </w:pPr>
    </w:p>
    <w:p w14:paraId="447A6497" w14:textId="5206EA21" w:rsidR="009A0EEA" w:rsidRDefault="009A0EEA" w:rsidP="00D11BB4">
      <w:pPr>
        <w:ind w:firstLine="1560"/>
        <w:jc w:val="both"/>
      </w:pPr>
      <w:r>
        <w:t>Foi fixado, como preço mínimo da proposta, o valor de R$</w:t>
      </w:r>
      <w:r>
        <w:t xml:space="preserve"> </w:t>
      </w:r>
      <w:r>
        <w:t>150.285.000 (cento e cinquenta milhões, duzentos e oitenta e cinco mil reais)</w:t>
      </w:r>
      <w:r>
        <w:t xml:space="preserve"> </w:t>
      </w:r>
      <w:r>
        <w:t>equivalente a 50% do valor da reavaliação do bem (R$ 300.570.000,00 - Id 6cfc99c), na</w:t>
      </w:r>
      <w:r>
        <w:t xml:space="preserve"> </w:t>
      </w:r>
      <w:r>
        <w:t>forma do art. 3º, II, do Prov. GP/CR n. 4/2020. Quanto à possibilidade de parcelamento,</w:t>
      </w:r>
      <w:r>
        <w:t xml:space="preserve"> </w:t>
      </w:r>
      <w:r>
        <w:t>somente será admitida mediante pagamento de 25% à vista, no prazo de 24 horas, a</w:t>
      </w:r>
      <w:r>
        <w:t xml:space="preserve"> </w:t>
      </w:r>
      <w:r>
        <w:t>partir da homologação da proposta, e o restante em, no máximo, 30 parcelas mensais,</w:t>
      </w:r>
      <w:r>
        <w:t xml:space="preserve"> </w:t>
      </w:r>
      <w:r>
        <w:t>devidamente corrigidas pela taxa SELIC, na forma do art. 895, §1º, do CPC. Em caso de</w:t>
      </w:r>
      <w:r>
        <w:t xml:space="preserve"> </w:t>
      </w:r>
      <w:r>
        <w:t>igualdade no valor ofertado, terá preferência a proposta que contemple pagamento à</w:t>
      </w:r>
      <w:r>
        <w:t xml:space="preserve"> </w:t>
      </w:r>
      <w:r>
        <w:t>vista ou em menor número de parcelas (art. 3º, § 2º, do Provimento GP/CR nº 04/2020).</w:t>
      </w:r>
      <w:r>
        <w:t xml:space="preserve"> </w:t>
      </w:r>
      <w:r>
        <w:t>Além disso, se a venda for efetivada a prazo, a carta de alienação será expedida sob</w:t>
      </w:r>
      <w:r>
        <w:t xml:space="preserve"> </w:t>
      </w:r>
      <w:r>
        <w:t>condição resolutiva e será, necessariamente, garantida por hipoteca sobre o próprio</w:t>
      </w:r>
      <w:r>
        <w:t xml:space="preserve"> </w:t>
      </w:r>
      <w:r>
        <w:t>bem, por ocasião do registro (art. 9º, parágrafo único, do Prov. GP/CR n. 4/2020).</w:t>
      </w:r>
      <w:r>
        <w:t xml:space="preserve"> </w:t>
      </w:r>
      <w:r>
        <w:t>Ademais, a apresentação de proposta vincula o proponente (art. 5º do Prov. GP/CR n. 4/2020) e, caso este descumpra as formalidades previstas, poderá ser analisada eventual</w:t>
      </w:r>
      <w:r>
        <w:t xml:space="preserve"> </w:t>
      </w:r>
      <w:r>
        <w:t>segunda maior proposta. Ao licitante desistente, sem prejuízo de outras sanções legais,</w:t>
      </w:r>
      <w:r>
        <w:t xml:space="preserve"> </w:t>
      </w:r>
      <w:r>
        <w:t>será imputável a perda do sinal dado em garantia em favor da execução e também da</w:t>
      </w:r>
      <w:r>
        <w:t xml:space="preserve"> </w:t>
      </w:r>
      <w:r>
        <w:t>comissão paga ao leiloeiro, o impedimento de participar em futuras hastas públicas</w:t>
      </w:r>
      <w:r>
        <w:t xml:space="preserve"> </w:t>
      </w:r>
      <w:r>
        <w:t>neste Regional, bem como será dada ciência ao Ministério Público para apurar eventual</w:t>
      </w:r>
      <w:r>
        <w:t xml:space="preserve"> </w:t>
      </w:r>
      <w:r>
        <w:t>existência de crime (artigo 358 do CP) - art. 5º, parágrafo único, do Prov. GP/CR n. 4</w:t>
      </w:r>
      <w:r>
        <w:t xml:space="preserve"> </w:t>
      </w:r>
      <w:r>
        <w:t>/2020. Foi fixada a comissão da corretagem em 5% do valor total da alienação, a qual</w:t>
      </w:r>
      <w:r>
        <w:t xml:space="preserve"> </w:t>
      </w:r>
      <w:r>
        <w:t>será devida ao leiloeiro que apresentar a proposta homologada (art. 3º, III, do Prov. GP</w:t>
      </w:r>
      <w:r>
        <w:t xml:space="preserve"> </w:t>
      </w:r>
      <w:r>
        <w:t>/CR n. 4/2020).</w:t>
      </w:r>
    </w:p>
    <w:p w14:paraId="7C4E5F20" w14:textId="77777777" w:rsidR="009A0EEA" w:rsidRDefault="009A0EEA" w:rsidP="009A0EEA">
      <w:pPr>
        <w:jc w:val="both"/>
      </w:pPr>
    </w:p>
    <w:p w14:paraId="407D32F4" w14:textId="74CE1026" w:rsidR="009A0EEA" w:rsidRDefault="009A0EEA" w:rsidP="00D11BB4">
      <w:pPr>
        <w:ind w:firstLine="1560"/>
        <w:jc w:val="both"/>
      </w:pPr>
      <w:r>
        <w:t>O adquirente fica isento quanto aos débitos tributários</w:t>
      </w:r>
      <w:r>
        <w:t xml:space="preserve"> </w:t>
      </w:r>
      <w:r>
        <w:t>incidentes sobre a propriedade, o domínio útil ou a posse do bem objeto desta</w:t>
      </w:r>
      <w:r>
        <w:t xml:space="preserve"> </w:t>
      </w:r>
      <w:r>
        <w:t>alienação, inscritos ou não na dívida ativa (art. 6º do Prov. GP/CR n. 4/2020 c/c art. 122</w:t>
      </w:r>
      <w:r>
        <w:t xml:space="preserve"> </w:t>
      </w:r>
      <w:r>
        <w:t>da Consolidação dos Provimentos da Corregedoria-Geral da Justiça do Trabalho). Os</w:t>
      </w:r>
      <w:r>
        <w:t xml:space="preserve"> </w:t>
      </w:r>
      <w:r>
        <w:lastRenderedPageBreak/>
        <w:t>eventuais débitos tributários incidentes sobre o bem apenas se sub-rogam no preço</w:t>
      </w:r>
      <w:r>
        <w:t xml:space="preserve"> </w:t>
      </w:r>
      <w:r>
        <w:t>oferecido, observada a ordem de preferência (art. 130, parágrafo único, do Código</w:t>
      </w:r>
      <w:r>
        <w:t xml:space="preserve"> </w:t>
      </w:r>
      <w:r>
        <w:t>Tributário Nacional - CTN c/c art. 908, § 1º, do CPC).</w:t>
      </w:r>
    </w:p>
    <w:p w14:paraId="2C7656A8" w14:textId="77777777" w:rsidR="009A0EEA" w:rsidRDefault="009A0EEA" w:rsidP="009A0EEA">
      <w:pPr>
        <w:jc w:val="both"/>
      </w:pPr>
    </w:p>
    <w:p w14:paraId="1CCFD5E2" w14:textId="5F90CE17" w:rsidR="009A0EEA" w:rsidRDefault="009A0EEA" w:rsidP="00D11BB4">
      <w:pPr>
        <w:ind w:firstLine="1560"/>
        <w:jc w:val="both"/>
      </w:pPr>
      <w:r w:rsidRPr="009A0EEA">
        <w:rPr>
          <w:b/>
          <w:bCs/>
        </w:rPr>
        <w:t>Fica autorizada a realização de visitas pelos interessados na</w:t>
      </w:r>
      <w:r w:rsidRPr="009A0EEA">
        <w:rPr>
          <w:b/>
          <w:bCs/>
        </w:rPr>
        <w:t xml:space="preserve"> </w:t>
      </w:r>
      <w:r w:rsidRPr="009A0EEA">
        <w:rPr>
          <w:b/>
          <w:bCs/>
        </w:rPr>
        <w:t>aquisição do bem, as quais poderão ocorrer após a publicação deste edital e por</w:t>
      </w:r>
      <w:r w:rsidRPr="009A0EEA">
        <w:rPr>
          <w:b/>
          <w:bCs/>
        </w:rPr>
        <w:t xml:space="preserve"> </w:t>
      </w:r>
      <w:r w:rsidRPr="009A0EEA">
        <w:rPr>
          <w:b/>
          <w:bCs/>
        </w:rPr>
        <w:t>intermédio dos leiloeiros credenciados, que possuem autorização de visitação junto ao</w:t>
      </w:r>
      <w:r w:rsidRPr="009A0EEA">
        <w:rPr>
          <w:b/>
          <w:bCs/>
        </w:rPr>
        <w:t xml:space="preserve"> </w:t>
      </w:r>
      <w:r w:rsidRPr="009A0EEA">
        <w:rPr>
          <w:b/>
          <w:bCs/>
        </w:rPr>
        <w:t>Centro de Apoio aos Leilões Judiciais Unificados.</w:t>
      </w:r>
      <w:r>
        <w:t xml:space="preserve"> Em caso de recusa do fiel depositário</w:t>
      </w:r>
      <w:r>
        <w:t xml:space="preserve"> </w:t>
      </w:r>
      <w:r>
        <w:t>ou dos ocupantes, o interessado deverá comunicar ao Juízo da alienação, que adotará</w:t>
      </w:r>
      <w:r>
        <w:t xml:space="preserve"> </w:t>
      </w:r>
      <w:r>
        <w:t>as sanções cabíveis. É vedado aos Senhores Depositários criar embaraços à visitação</w:t>
      </w:r>
      <w:r>
        <w:t xml:space="preserve"> </w:t>
      </w:r>
      <w:r>
        <w:t>dos bens sob sua guarda, sob pena de ofensa ao artigo 77, inciso IV, do CPC. Constitui</w:t>
      </w:r>
      <w:r>
        <w:t xml:space="preserve"> </w:t>
      </w:r>
      <w:r>
        <w:t>ônus dos interessados em participar da praça examinar o bem antes da arrematação.</w:t>
      </w:r>
      <w:r>
        <w:t xml:space="preserve"> </w:t>
      </w:r>
      <w:r>
        <w:t>Os leiloeiros ficarão responsáveis pelos danos causados ao imóvel e /ou a terceiros.</w:t>
      </w:r>
    </w:p>
    <w:p w14:paraId="01262647" w14:textId="77777777" w:rsidR="009A0EEA" w:rsidRDefault="009A0EEA" w:rsidP="009A0EEA">
      <w:pPr>
        <w:jc w:val="both"/>
      </w:pPr>
    </w:p>
    <w:p w14:paraId="4117CA4A" w14:textId="17093957" w:rsidR="009A0EEA" w:rsidRDefault="009A0EEA" w:rsidP="00D11BB4">
      <w:pPr>
        <w:ind w:firstLine="1560"/>
        <w:jc w:val="both"/>
      </w:pPr>
      <w:r>
        <w:t>A apresentação de proposta vincula o proponente. Caso este</w:t>
      </w:r>
      <w:r>
        <w:t xml:space="preserve"> </w:t>
      </w:r>
      <w:r>
        <w:t>descumpra as formalidades previstas, os autos serão conclusos para análise da</w:t>
      </w:r>
      <w:r>
        <w:t xml:space="preserve"> </w:t>
      </w:r>
      <w:r>
        <w:t>segunda maior proposta apresentada, sem prejuízo da aplicação das sanções cabíveis</w:t>
      </w:r>
      <w:r>
        <w:t xml:space="preserve"> </w:t>
      </w:r>
      <w:r>
        <w:t>ao licitante refratário: perda do sinal dado em garantia em favor da execução e</w:t>
      </w:r>
      <w:r>
        <w:t xml:space="preserve"> </w:t>
      </w:r>
      <w:r>
        <w:t>também da comissão paga ao leiloeiro, impedimento de participar em futuras hastas</w:t>
      </w:r>
      <w:r>
        <w:t xml:space="preserve"> </w:t>
      </w:r>
      <w:r>
        <w:t>públicas neste Regional, nos termos do art. 5º, do Provimento GP/CR Nº 04/2020, bem</w:t>
      </w:r>
      <w:r>
        <w:t xml:space="preserve"> </w:t>
      </w:r>
      <w:r>
        <w:t>como ciência ao Ministério Público para apurar eventual existência de crime (artigo 358</w:t>
      </w:r>
      <w:r>
        <w:t xml:space="preserve"> </w:t>
      </w:r>
      <w:r>
        <w:t>do CP).</w:t>
      </w:r>
    </w:p>
    <w:p w14:paraId="32B336D4" w14:textId="77777777" w:rsidR="009A0EEA" w:rsidRDefault="009A0EEA" w:rsidP="009A0EEA">
      <w:pPr>
        <w:jc w:val="both"/>
      </w:pPr>
    </w:p>
    <w:p w14:paraId="6EB5FE5F" w14:textId="41C0BB0D" w:rsidR="009A0EEA" w:rsidRDefault="009A0EEA" w:rsidP="00D11BB4">
      <w:pPr>
        <w:ind w:firstLine="1560"/>
        <w:jc w:val="both"/>
      </w:pPr>
      <w:r>
        <w:t>Ressalte-se que a aquisição de bem imóvel em processo judicial</w:t>
      </w:r>
      <w:r>
        <w:t xml:space="preserve"> </w:t>
      </w:r>
      <w:r>
        <w:t>é originária, razão pela qual não há que se falar em responsabilidade do adquirente</w:t>
      </w:r>
      <w:r>
        <w:t xml:space="preserve"> </w:t>
      </w:r>
      <w:r>
        <w:t>pelos débitos tributários que recaiam sobre ele até a presente data, nos termos do art.</w:t>
      </w:r>
      <w:r>
        <w:t xml:space="preserve"> </w:t>
      </w:r>
      <w:r>
        <w:t>6º do PROVIMENTO GP/CR Nº 04/2020.</w:t>
      </w:r>
    </w:p>
    <w:p w14:paraId="108538D3" w14:textId="77777777" w:rsidR="009A0EEA" w:rsidRDefault="009A0EEA" w:rsidP="009A0EEA">
      <w:pPr>
        <w:jc w:val="both"/>
      </w:pPr>
    </w:p>
    <w:p w14:paraId="49E6BDA9" w14:textId="0F970739" w:rsidR="009A0EEA" w:rsidRDefault="009A0EEA" w:rsidP="00D11BB4">
      <w:pPr>
        <w:ind w:firstLine="1560"/>
        <w:jc w:val="both"/>
      </w:pPr>
      <w:r>
        <w:t>A íntegra do despacho encontra-se disponível para consulta nos</w:t>
      </w:r>
      <w:r>
        <w:t xml:space="preserve"> </w:t>
      </w:r>
      <w:r>
        <w:t>autos, acessível pelo site deste Tribunal.</w:t>
      </w:r>
    </w:p>
    <w:p w14:paraId="2C987F83" w14:textId="77777777" w:rsidR="009A0EEA" w:rsidRDefault="009A0EEA" w:rsidP="009A0EEA">
      <w:pPr>
        <w:jc w:val="both"/>
      </w:pPr>
    </w:p>
    <w:p w14:paraId="3406CA05" w14:textId="61E1C03B" w:rsidR="009A0EEA" w:rsidRDefault="009A0EEA" w:rsidP="00D11BB4">
      <w:pPr>
        <w:ind w:firstLine="1560"/>
        <w:jc w:val="both"/>
      </w:pPr>
      <w:r>
        <w:t>DECISÃO:</w:t>
      </w:r>
    </w:p>
    <w:p w14:paraId="1EA2C210" w14:textId="77777777" w:rsidR="009A0EEA" w:rsidRDefault="009A0EEA" w:rsidP="009A0EEA">
      <w:pPr>
        <w:jc w:val="both"/>
      </w:pPr>
    </w:p>
    <w:p w14:paraId="60CFE5A1" w14:textId="77777777" w:rsidR="009A0EEA" w:rsidRDefault="009A0EEA" w:rsidP="00D11BB4">
      <w:pPr>
        <w:ind w:firstLine="1560"/>
        <w:jc w:val="both"/>
      </w:pPr>
      <w:r>
        <w:lastRenderedPageBreak/>
        <w:t xml:space="preserve">h t </w:t>
      </w:r>
      <w:proofErr w:type="spellStart"/>
      <w:r>
        <w:t>t</w:t>
      </w:r>
      <w:proofErr w:type="spellEnd"/>
      <w:r>
        <w:t xml:space="preserve"> p s : / / p j e . t r t 2 . j u s . b r / p j e k z / v a l i d a c a o/26020414021857700000441599094?instancia=1</w:t>
      </w:r>
    </w:p>
    <w:p w14:paraId="2732388A" w14:textId="22A940E9" w:rsidR="009A0EEA" w:rsidRDefault="009A0EEA" w:rsidP="00D11BB4">
      <w:pPr>
        <w:ind w:firstLine="1560"/>
        <w:jc w:val="both"/>
      </w:pPr>
      <w:r>
        <w:t xml:space="preserve">h t </w:t>
      </w:r>
      <w:proofErr w:type="spellStart"/>
      <w:r>
        <w:t>t</w:t>
      </w:r>
      <w:proofErr w:type="spellEnd"/>
      <w:r>
        <w:t xml:space="preserve"> p s : / / p j e . t r t 2 . j u s . b r / p j e k z / v a l i d a c a o/25121815474176700000437073515?instancia=1</w:t>
      </w:r>
    </w:p>
    <w:p w14:paraId="4CAFC0CD" w14:textId="77777777" w:rsidR="009A0EEA" w:rsidRDefault="009A0EEA" w:rsidP="009A0EEA">
      <w:pPr>
        <w:jc w:val="both"/>
      </w:pPr>
    </w:p>
    <w:p w14:paraId="0D845AEF" w14:textId="77777777" w:rsidR="009A0EEA" w:rsidRDefault="009A0EEA" w:rsidP="00D11BB4">
      <w:pPr>
        <w:ind w:firstLine="1560"/>
        <w:jc w:val="both"/>
      </w:pPr>
      <w:r>
        <w:t>REAVALIAÇÃO E SEUS ANEXOS:</w:t>
      </w:r>
    </w:p>
    <w:p w14:paraId="07CDCDEF" w14:textId="77777777" w:rsidR="00D11BB4" w:rsidRDefault="00D11BB4" w:rsidP="009A0EEA">
      <w:pPr>
        <w:jc w:val="both"/>
      </w:pPr>
    </w:p>
    <w:p w14:paraId="26CFCF1D" w14:textId="7D61F7E7" w:rsidR="009A0EEA" w:rsidRDefault="009A0EEA" w:rsidP="00D11BB4">
      <w:pPr>
        <w:ind w:firstLine="1560"/>
        <w:jc w:val="both"/>
      </w:pPr>
      <w:r>
        <w:t xml:space="preserve">h t </w:t>
      </w:r>
      <w:proofErr w:type="spellStart"/>
      <w:r>
        <w:t>t</w:t>
      </w:r>
      <w:proofErr w:type="spellEnd"/>
      <w:r>
        <w:t xml:space="preserve"> p s : / / p j e . t r t 2 . j u s . b r / p j e k z / v a l i d a c a o/25021218352690200000386650339?instancia=1</w:t>
      </w:r>
    </w:p>
    <w:p w14:paraId="196B7F5B" w14:textId="77777777" w:rsidR="00D11BB4" w:rsidRDefault="00D11BB4" w:rsidP="009A0EEA">
      <w:pPr>
        <w:jc w:val="both"/>
      </w:pPr>
    </w:p>
    <w:p w14:paraId="4E8263D2" w14:textId="55DB5E5E" w:rsidR="009A0EEA" w:rsidRDefault="009A0EEA" w:rsidP="00D11BB4">
      <w:pPr>
        <w:ind w:firstLine="1560"/>
        <w:jc w:val="both"/>
      </w:pPr>
      <w:r>
        <w:t>E, para que todos os interessados tenham ciência, o presente</w:t>
      </w:r>
      <w:r w:rsidR="00D11BB4">
        <w:t xml:space="preserve"> </w:t>
      </w:r>
      <w:r>
        <w:t>Edital será disponibilizado na área destinada ao Juízo Auxiliar em Execução no site</w:t>
      </w:r>
      <w:r w:rsidR="00D11BB4">
        <w:t xml:space="preserve"> </w:t>
      </w:r>
      <w:r>
        <w:t xml:space="preserve">institucional deste Egrégio Tribunal Regional do Trabalho da 2ª Região, </w:t>
      </w:r>
      <w:hyperlink r:id="rId4" w:history="1">
        <w:r w:rsidR="00D11BB4" w:rsidRPr="00BF44D1">
          <w:rPr>
            <w:rStyle w:val="Hyperlink"/>
          </w:rPr>
          <w:t>https://ww2.trt2</w:t>
        </w:r>
      </w:hyperlink>
      <w:r>
        <w:t>.</w:t>
      </w:r>
      <w:r w:rsidR="00D11BB4">
        <w:t xml:space="preserve"> </w:t>
      </w:r>
      <w:r>
        <w:t>jus.br/</w:t>
      </w:r>
      <w:proofErr w:type="spellStart"/>
      <w:r>
        <w:t>servicos</w:t>
      </w:r>
      <w:proofErr w:type="spellEnd"/>
      <w:r>
        <w:t>/consultas/</w:t>
      </w:r>
      <w:proofErr w:type="spellStart"/>
      <w:r>
        <w:t>juizo</w:t>
      </w:r>
      <w:proofErr w:type="spellEnd"/>
      <w:r>
        <w:t>-auxiliar-em-</w:t>
      </w:r>
      <w:proofErr w:type="spellStart"/>
      <w:r>
        <w:t>execucao</w:t>
      </w:r>
      <w:proofErr w:type="spellEnd"/>
      <w:r>
        <w:t>. Nada mais.</w:t>
      </w:r>
    </w:p>
    <w:p w14:paraId="5C0C41BA" w14:textId="77777777" w:rsidR="00D11BB4" w:rsidRDefault="00D11BB4" w:rsidP="009A0EEA">
      <w:pPr>
        <w:jc w:val="both"/>
      </w:pPr>
    </w:p>
    <w:p w14:paraId="7B3C4C1F" w14:textId="77777777" w:rsidR="009A0EEA" w:rsidRDefault="009A0EEA" w:rsidP="00D11BB4">
      <w:pPr>
        <w:jc w:val="right"/>
      </w:pPr>
      <w:r>
        <w:t>SAO PAULO/SP, 09 de fevereiro de 2026.</w:t>
      </w:r>
    </w:p>
    <w:p w14:paraId="5841260D" w14:textId="77777777" w:rsidR="00D11BB4" w:rsidRDefault="00D11BB4" w:rsidP="00D11BB4">
      <w:pPr>
        <w:jc w:val="right"/>
      </w:pPr>
    </w:p>
    <w:p w14:paraId="63916EDB" w14:textId="77777777" w:rsidR="00D11BB4" w:rsidRDefault="00D11BB4" w:rsidP="00D11BB4">
      <w:pPr>
        <w:jc w:val="right"/>
      </w:pPr>
    </w:p>
    <w:p w14:paraId="5341437C" w14:textId="77777777" w:rsidR="009A0EEA" w:rsidRDefault="009A0EEA" w:rsidP="00D11BB4">
      <w:pPr>
        <w:jc w:val="center"/>
      </w:pPr>
      <w:r>
        <w:t>MERCEDES VIANA PINHEIRO</w:t>
      </w:r>
    </w:p>
    <w:p w14:paraId="34F3777D" w14:textId="09C6E090" w:rsidR="00890A30" w:rsidRDefault="009A0EEA" w:rsidP="00D11BB4">
      <w:pPr>
        <w:jc w:val="center"/>
      </w:pPr>
      <w:r>
        <w:t>Secretário de Audiência</w:t>
      </w:r>
    </w:p>
    <w:sectPr w:rsidR="00890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EA"/>
    <w:rsid w:val="00190845"/>
    <w:rsid w:val="006538C2"/>
    <w:rsid w:val="008565E3"/>
    <w:rsid w:val="008632FB"/>
    <w:rsid w:val="00890A30"/>
    <w:rsid w:val="009526CE"/>
    <w:rsid w:val="009A0EEA"/>
    <w:rsid w:val="00C45A2A"/>
    <w:rsid w:val="00D1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8257"/>
  <w15:chartTrackingRefBased/>
  <w15:docId w15:val="{B63CA9F5-ED61-472E-935E-83B51DC7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0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0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0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0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0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0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0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0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0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0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0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0E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0E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E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0E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0E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0E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0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0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0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0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0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0E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0E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0E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0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0E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0E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11BB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2.trt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1260</Words>
  <Characters>6806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1</cp:revision>
  <dcterms:created xsi:type="dcterms:W3CDTF">2026-03-24T17:11:00Z</dcterms:created>
  <dcterms:modified xsi:type="dcterms:W3CDTF">2026-03-24T17:27:00Z</dcterms:modified>
</cp:coreProperties>
</file>