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5ACCE" w14:textId="77777777" w:rsidR="00A34BE7" w:rsidRPr="00F91F2E" w:rsidRDefault="00D940C6" w:rsidP="00F91F2E">
      <w:pPr>
        <w:spacing w:line="360" w:lineRule="auto"/>
        <w:jc w:val="center"/>
        <w:rPr>
          <w:rFonts w:ascii="Verdana" w:hAnsi="Verdana"/>
        </w:rPr>
      </w:pPr>
      <w:r w:rsidRPr="00D940C6">
        <w:rPr>
          <w:rFonts w:ascii="Verdana" w:hAnsi="Verdana"/>
        </w:rPr>
        <w:t xml:space="preserve">4ª Vara Cível </w:t>
      </w:r>
      <w:r w:rsidRPr="00F91F2E">
        <w:rPr>
          <w:rFonts w:ascii="Verdana" w:hAnsi="Verdana"/>
        </w:rPr>
        <w:t xml:space="preserve">do </w:t>
      </w:r>
      <w:r w:rsidRPr="00D940C6">
        <w:rPr>
          <w:rFonts w:ascii="Verdana" w:hAnsi="Verdana"/>
        </w:rPr>
        <w:t>Foro de Taubaté</w:t>
      </w:r>
    </w:p>
    <w:p w14:paraId="78034049" w14:textId="77777777" w:rsidR="00A34BE7" w:rsidRPr="00F91F2E" w:rsidRDefault="00A34BE7" w:rsidP="00F91F2E">
      <w:pPr>
        <w:spacing w:line="360" w:lineRule="auto"/>
        <w:jc w:val="both"/>
        <w:rPr>
          <w:rFonts w:ascii="Verdana" w:hAnsi="Verdana"/>
        </w:rPr>
      </w:pPr>
    </w:p>
    <w:p w14:paraId="2FC62E7A" w14:textId="77777777" w:rsidR="00A34BE7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Edital de 1° e 2° leilão de bem </w:t>
      </w:r>
      <w:r w:rsidR="00D940C6">
        <w:rPr>
          <w:rFonts w:ascii="Verdana" w:hAnsi="Verdana"/>
        </w:rPr>
        <w:t>móvel</w:t>
      </w:r>
      <w:r w:rsidRPr="00F91F2E">
        <w:rPr>
          <w:rFonts w:ascii="Verdana" w:hAnsi="Verdana"/>
        </w:rPr>
        <w:t xml:space="preserve"> </w:t>
      </w:r>
      <w:r w:rsidR="00BE4B17">
        <w:rPr>
          <w:rFonts w:ascii="Verdana" w:hAnsi="Verdana"/>
        </w:rPr>
        <w:t xml:space="preserve">e </w:t>
      </w:r>
      <w:r w:rsidRPr="00F91F2E">
        <w:rPr>
          <w:rFonts w:ascii="Verdana" w:hAnsi="Verdana"/>
        </w:rPr>
        <w:t>para intimação de</w:t>
      </w:r>
      <w:r w:rsidR="000618B5" w:rsidRPr="00F91F2E">
        <w:rPr>
          <w:rFonts w:ascii="Verdana" w:hAnsi="Verdana"/>
        </w:rPr>
        <w:t xml:space="preserve"> </w:t>
      </w:r>
      <w:r w:rsidR="00D940C6" w:rsidRPr="00D940C6">
        <w:rPr>
          <w:rFonts w:ascii="Verdana" w:hAnsi="Verdana"/>
        </w:rPr>
        <w:t>Fabiana Alves Morais de Oliveira</w:t>
      </w:r>
      <w:r w:rsidR="00D940C6">
        <w:rPr>
          <w:rFonts w:ascii="Verdana" w:hAnsi="Verdana"/>
        </w:rPr>
        <w:t xml:space="preserve"> e </w:t>
      </w:r>
      <w:r w:rsidR="00D940C6" w:rsidRPr="00D940C6">
        <w:rPr>
          <w:rFonts w:ascii="Verdana" w:hAnsi="Verdana"/>
        </w:rPr>
        <w:t>Orlando Rui de Oliveira</w:t>
      </w:r>
      <w:r w:rsidR="00D940C6">
        <w:rPr>
          <w:rFonts w:ascii="Verdana" w:hAnsi="Verdana"/>
        </w:rPr>
        <w:t xml:space="preserve">, </w:t>
      </w:r>
      <w:r w:rsidRPr="00F91F2E">
        <w:rPr>
          <w:rFonts w:ascii="Verdana" w:hAnsi="Verdana"/>
        </w:rPr>
        <w:t>expedido nos autos d</w:t>
      </w:r>
      <w:r w:rsidR="00D940C6">
        <w:rPr>
          <w:rFonts w:ascii="Verdana" w:hAnsi="Verdana"/>
        </w:rPr>
        <w:t xml:space="preserve">a </w:t>
      </w:r>
      <w:r w:rsidR="00D940C6" w:rsidRPr="00D940C6">
        <w:rPr>
          <w:rFonts w:ascii="Verdana" w:hAnsi="Verdana"/>
        </w:rPr>
        <w:t>Execução de Título Extrajudicial</w:t>
      </w:r>
      <w:r w:rsidRPr="00F91F2E">
        <w:rPr>
          <w:rFonts w:ascii="Verdana" w:hAnsi="Verdana"/>
        </w:rPr>
        <w:t xml:space="preserve">, que lhe </w:t>
      </w:r>
      <w:r w:rsidR="00BE4B17" w:rsidRPr="00F91F2E">
        <w:rPr>
          <w:rFonts w:ascii="Verdana" w:hAnsi="Verdana"/>
        </w:rPr>
        <w:t xml:space="preserve">requer </w:t>
      </w:r>
      <w:r w:rsidR="00D940C6" w:rsidRPr="00D940C6">
        <w:rPr>
          <w:rFonts w:ascii="Verdana" w:hAnsi="Verdana"/>
        </w:rPr>
        <w:t>Condomínio Residencial Jacarandá</w:t>
      </w:r>
      <w:r w:rsidR="00D940C6">
        <w:rPr>
          <w:rFonts w:ascii="Verdana" w:hAnsi="Verdana"/>
        </w:rPr>
        <w:t>.</w:t>
      </w:r>
      <w:r w:rsidR="00BE4B17">
        <w:rPr>
          <w:rFonts w:ascii="Verdana" w:hAnsi="Verdana"/>
        </w:rPr>
        <w:t xml:space="preserve"> </w:t>
      </w:r>
      <w:r w:rsidR="00BE4B17" w:rsidRPr="00F91F2E">
        <w:rPr>
          <w:rFonts w:ascii="Verdana" w:hAnsi="Verdana"/>
        </w:rPr>
        <w:t>Processo</w:t>
      </w:r>
      <w:r w:rsidRPr="00F91F2E">
        <w:rPr>
          <w:rFonts w:ascii="Verdana" w:hAnsi="Verdana"/>
        </w:rPr>
        <w:t xml:space="preserve"> n° </w:t>
      </w:r>
      <w:r w:rsidR="00D940C6" w:rsidRPr="00D940C6">
        <w:rPr>
          <w:rFonts w:ascii="Verdana" w:hAnsi="Verdana"/>
        </w:rPr>
        <w:t>1002618-97.2022.8.26.0625</w:t>
      </w:r>
    </w:p>
    <w:p w14:paraId="60F1BED5" w14:textId="77777777" w:rsidR="00546D7D" w:rsidRPr="00F91F2E" w:rsidRDefault="00546D7D" w:rsidP="00F91F2E">
      <w:pPr>
        <w:spacing w:line="360" w:lineRule="auto"/>
        <w:jc w:val="both"/>
        <w:rPr>
          <w:rFonts w:ascii="Verdana" w:hAnsi="Verdana"/>
        </w:rPr>
      </w:pPr>
    </w:p>
    <w:p w14:paraId="3532DA48" w14:textId="77777777" w:rsidR="006306E9" w:rsidRPr="00F91F2E" w:rsidRDefault="00535E93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O</w:t>
      </w:r>
      <w:r w:rsidR="00954FF0" w:rsidRPr="00F91F2E">
        <w:rPr>
          <w:rFonts w:ascii="Verdana" w:hAnsi="Verdana"/>
        </w:rPr>
        <w:t xml:space="preserve"> </w:t>
      </w:r>
      <w:r w:rsidR="003E7A5B" w:rsidRPr="00F91F2E">
        <w:rPr>
          <w:rFonts w:ascii="Verdana" w:hAnsi="Verdana"/>
        </w:rPr>
        <w:t>Dr</w:t>
      </w:r>
      <w:r w:rsidR="00A34BE7" w:rsidRPr="00F91F2E">
        <w:rPr>
          <w:rFonts w:ascii="Verdana" w:hAnsi="Verdana"/>
        </w:rPr>
        <w:t>.</w:t>
      </w:r>
      <w:r w:rsidR="00C7621C" w:rsidRPr="00F91F2E">
        <w:rPr>
          <w:rFonts w:ascii="Verdana" w:hAnsi="Verdana"/>
        </w:rPr>
        <w:t xml:space="preserve"> </w:t>
      </w:r>
      <w:r w:rsidR="00D940C6" w:rsidRPr="00D940C6">
        <w:rPr>
          <w:rFonts w:ascii="Verdana" w:hAnsi="Verdana"/>
        </w:rPr>
        <w:t xml:space="preserve">Helio Aparecido Ferreira </w:t>
      </w:r>
      <w:r w:rsidR="00D940C6">
        <w:rPr>
          <w:rFonts w:ascii="Verdana" w:hAnsi="Verdana"/>
        </w:rPr>
        <w:t>d</w:t>
      </w:r>
      <w:r w:rsidR="00D940C6" w:rsidRPr="00D940C6">
        <w:rPr>
          <w:rFonts w:ascii="Verdana" w:hAnsi="Verdana"/>
        </w:rPr>
        <w:t>e Sena</w:t>
      </w:r>
      <w:r w:rsidR="003E7A5B" w:rsidRPr="00F91F2E">
        <w:rPr>
          <w:rFonts w:ascii="Verdana" w:hAnsi="Verdana"/>
        </w:rPr>
        <w:t>, Ju</w:t>
      </w:r>
      <w:r w:rsidRPr="00F91F2E">
        <w:rPr>
          <w:rFonts w:ascii="Verdana" w:hAnsi="Verdana"/>
        </w:rPr>
        <w:t>iz</w:t>
      </w:r>
      <w:r w:rsidR="003E7A5B" w:rsidRPr="00F91F2E">
        <w:rPr>
          <w:rFonts w:ascii="Verdana" w:hAnsi="Verdana"/>
        </w:rPr>
        <w:t xml:space="preserve"> de Direito da </w:t>
      </w:r>
      <w:bookmarkStart w:id="0" w:name="_Hlk216097965"/>
      <w:r w:rsidR="00D940C6" w:rsidRPr="00D940C6">
        <w:rPr>
          <w:rFonts w:ascii="Verdana" w:hAnsi="Verdana"/>
        </w:rPr>
        <w:t xml:space="preserve">4ª Vara Cível </w:t>
      </w:r>
      <w:r w:rsidR="00BA2701" w:rsidRPr="00F91F2E">
        <w:rPr>
          <w:rFonts w:ascii="Verdana" w:hAnsi="Verdana"/>
        </w:rPr>
        <w:t xml:space="preserve">do </w:t>
      </w:r>
      <w:r w:rsidR="00D940C6" w:rsidRPr="00D940C6">
        <w:rPr>
          <w:rFonts w:ascii="Verdana" w:hAnsi="Verdana"/>
        </w:rPr>
        <w:t>Foro de Taubaté</w:t>
      </w:r>
      <w:r w:rsidR="00D940C6">
        <w:rPr>
          <w:rFonts w:ascii="Verdana" w:hAnsi="Verdana"/>
        </w:rPr>
        <w:t>,</w:t>
      </w:r>
      <w:r w:rsidR="00546D7D">
        <w:rPr>
          <w:rFonts w:ascii="Verdana" w:hAnsi="Verdana"/>
        </w:rPr>
        <w:t xml:space="preserve"> do </w:t>
      </w:r>
      <w:r w:rsidR="00BE4B17">
        <w:rPr>
          <w:rFonts w:ascii="Verdana" w:hAnsi="Verdana"/>
        </w:rPr>
        <w:t xml:space="preserve">Estado </w:t>
      </w:r>
      <w:r w:rsidR="00BE4B17" w:rsidRPr="00F91F2E">
        <w:rPr>
          <w:rFonts w:ascii="Verdana" w:hAnsi="Verdana"/>
        </w:rPr>
        <w:t>de</w:t>
      </w:r>
      <w:r w:rsidR="00A34BE7" w:rsidRPr="00F91F2E">
        <w:rPr>
          <w:rFonts w:ascii="Verdana" w:hAnsi="Verdana"/>
        </w:rPr>
        <w:t xml:space="preserve"> </w:t>
      </w:r>
      <w:r w:rsidR="00BA2701" w:rsidRPr="00F91F2E">
        <w:rPr>
          <w:rFonts w:ascii="Verdana" w:hAnsi="Verdana"/>
        </w:rPr>
        <w:t>São Paulo</w:t>
      </w:r>
      <w:bookmarkEnd w:id="0"/>
      <w:r w:rsidR="00BA2701" w:rsidRPr="00F91F2E">
        <w:rPr>
          <w:rFonts w:ascii="Verdana" w:hAnsi="Verdana"/>
        </w:rPr>
        <w:t>,</w:t>
      </w:r>
      <w:r w:rsidR="003E7A5B" w:rsidRPr="00F91F2E">
        <w:rPr>
          <w:rFonts w:ascii="Verdana" w:hAnsi="Verdana"/>
        </w:rPr>
        <w:t xml:space="preserve"> na forma da lei, etc...</w:t>
      </w:r>
    </w:p>
    <w:p w14:paraId="7AECBB05" w14:textId="77777777" w:rsidR="003E7A5B" w:rsidRDefault="00D940C6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Faz Saber que </w:t>
      </w:r>
      <w:r>
        <w:rPr>
          <w:rFonts w:ascii="Verdana" w:hAnsi="Verdana"/>
        </w:rPr>
        <w:t xml:space="preserve">a Sra. </w:t>
      </w:r>
      <w:r w:rsidRPr="003204A2">
        <w:rPr>
          <w:rFonts w:ascii="Verdana" w:hAnsi="Verdana"/>
        </w:rPr>
        <w:t>Dagmar C</w:t>
      </w:r>
      <w:r>
        <w:rPr>
          <w:rFonts w:ascii="Verdana" w:hAnsi="Verdana"/>
        </w:rPr>
        <w:t>.</w:t>
      </w:r>
      <w:r w:rsidRPr="003204A2">
        <w:rPr>
          <w:rFonts w:ascii="Verdana" w:hAnsi="Verdana"/>
        </w:rPr>
        <w:t xml:space="preserve"> S</w:t>
      </w:r>
      <w:r>
        <w:rPr>
          <w:rFonts w:ascii="Verdana" w:hAnsi="Verdana"/>
        </w:rPr>
        <w:t>.</w:t>
      </w:r>
      <w:r w:rsidRPr="003204A2">
        <w:rPr>
          <w:rFonts w:ascii="Verdana" w:hAnsi="Verdana"/>
        </w:rPr>
        <w:t xml:space="preserve"> Flores</w:t>
      </w:r>
      <w:r>
        <w:rPr>
          <w:rFonts w:ascii="Verdana" w:hAnsi="Verdana"/>
        </w:rPr>
        <w:t>, JUCESP 901,</w:t>
      </w:r>
      <w:r w:rsidR="003E7A5B" w:rsidRPr="00F91F2E">
        <w:rPr>
          <w:rFonts w:ascii="Verdana" w:hAnsi="Verdana"/>
        </w:rPr>
        <w:t xml:space="preserve"> levará a leilão público para venda e arrematação, no local e hora descritos no </w:t>
      </w:r>
      <w:r w:rsidR="0086042E" w:rsidRPr="00F91F2E">
        <w:rPr>
          <w:rFonts w:ascii="Verdana" w:hAnsi="Verdana"/>
        </w:rPr>
        <w:t>edital</w:t>
      </w:r>
      <w:r w:rsidR="003E7A5B" w:rsidRPr="00F91F2E">
        <w:rPr>
          <w:rFonts w:ascii="Verdana" w:hAnsi="Verdana"/>
        </w:rPr>
        <w:t xml:space="preserve"> com transmissão pela internet e disponibilização imediata n</w:t>
      </w:r>
      <w:r w:rsidR="0086042E" w:rsidRPr="00F91F2E">
        <w:rPr>
          <w:rFonts w:ascii="Verdana" w:hAnsi="Verdana"/>
        </w:rPr>
        <w:t xml:space="preserve">a plataforma </w:t>
      </w:r>
      <w:r w:rsidR="003E7A5B" w:rsidRPr="00F91F2E">
        <w:rPr>
          <w:rFonts w:ascii="Verdana" w:hAnsi="Verdana"/>
        </w:rPr>
        <w:t xml:space="preserve">de leilões eletrônicos, </w:t>
      </w:r>
      <w:hyperlink r:id="rId4" w:history="1">
        <w:r w:rsidR="003E7A5B" w:rsidRPr="00546D7D">
          <w:rPr>
            <w:rStyle w:val="Hyperlink"/>
            <w:rFonts w:ascii="Verdana" w:hAnsi="Verdana"/>
            <w:color w:val="0000FF"/>
          </w:rPr>
          <w:t>www.leilaobrasil.com.br</w:t>
        </w:r>
      </w:hyperlink>
      <w:r w:rsidR="00546D7D">
        <w:rPr>
          <w:rFonts w:ascii="Verdana" w:hAnsi="Verdana"/>
        </w:rPr>
        <w:t xml:space="preserve"> para lances através da internet.</w:t>
      </w:r>
    </w:p>
    <w:p w14:paraId="66CF97DD" w14:textId="293990A1" w:rsidR="003E7A5B" w:rsidRPr="00F91F2E" w:rsidRDefault="00C12BB9" w:rsidP="00C12BB9">
      <w:pPr>
        <w:spacing w:line="360" w:lineRule="auto"/>
        <w:jc w:val="both"/>
        <w:rPr>
          <w:rFonts w:ascii="Verdana" w:hAnsi="Verdana"/>
        </w:rPr>
      </w:pPr>
      <w:r w:rsidRPr="00C12BB9">
        <w:rPr>
          <w:rFonts w:ascii="Verdana" w:hAnsi="Verdana"/>
        </w:rPr>
        <w:t>Do início e encerramento do Leilão: </w:t>
      </w:r>
      <w:bookmarkStart w:id="1" w:name="_Hlk188538944"/>
      <w:r w:rsidRPr="00C12BB9">
        <w:rPr>
          <w:rFonts w:ascii="Verdana" w:hAnsi="Verdana"/>
        </w:rPr>
        <w:t>Início do 1° leilão em 25/09/2026 às 10:</w:t>
      </w:r>
      <w:r w:rsidR="002F1B3F">
        <w:rPr>
          <w:rFonts w:ascii="Verdana" w:hAnsi="Verdana"/>
        </w:rPr>
        <w:t>53</w:t>
      </w:r>
      <w:r w:rsidRPr="00C12BB9">
        <w:rPr>
          <w:rFonts w:ascii="Verdana" w:hAnsi="Verdana"/>
        </w:rPr>
        <w:t xml:space="preserve"> horas e encerramento do 1° leilão em 28/09/2026 às 10:</w:t>
      </w:r>
      <w:r w:rsidR="002F1B3F">
        <w:rPr>
          <w:rFonts w:ascii="Verdana" w:hAnsi="Verdana"/>
        </w:rPr>
        <w:t>53</w:t>
      </w:r>
      <w:r w:rsidRPr="00C12BB9">
        <w:rPr>
          <w:rFonts w:ascii="Verdana" w:hAnsi="Verdana"/>
        </w:rPr>
        <w:t xml:space="preserve"> horas, em não havendo lance igual ou superior ao valor da avaliação atualizada para a data supra, seguir-se-á sem interrupção o 2° leilão que se encerrará em 23/10/2026 às 10:</w:t>
      </w:r>
      <w:r w:rsidR="002F1B3F">
        <w:rPr>
          <w:rFonts w:ascii="Verdana" w:hAnsi="Verdana"/>
        </w:rPr>
        <w:t>53</w:t>
      </w:r>
      <w:r w:rsidRPr="00C12BB9">
        <w:rPr>
          <w:rFonts w:ascii="Verdana" w:hAnsi="Verdana"/>
        </w:rPr>
        <w:t xml:space="preserve"> horas</w:t>
      </w:r>
      <w:bookmarkEnd w:id="1"/>
      <w:r w:rsidRPr="00C12BB9">
        <w:rPr>
          <w:rFonts w:ascii="Verdana" w:hAnsi="Verdana"/>
        </w:rPr>
        <w:t>,</w:t>
      </w:r>
      <w:r w:rsidR="003E7A5B" w:rsidRPr="00F91F2E">
        <w:rPr>
          <w:rFonts w:ascii="Verdana" w:hAnsi="Verdana"/>
        </w:rPr>
        <w:t xml:space="preserve"> não sendo aceito lances inferiores a </w:t>
      </w:r>
      <w:r w:rsidR="00BA51E3">
        <w:rPr>
          <w:rFonts w:ascii="Verdana" w:hAnsi="Verdana"/>
        </w:rPr>
        <w:t>50%</w:t>
      </w:r>
      <w:r w:rsidR="003E7A5B" w:rsidRPr="00F91F2E">
        <w:rPr>
          <w:rFonts w:ascii="Verdana" w:hAnsi="Verdana"/>
        </w:rPr>
        <w:t xml:space="preserve"> do valor da </w:t>
      </w:r>
      <w:r w:rsidR="004F3CCD" w:rsidRPr="00F91F2E">
        <w:rPr>
          <w:rFonts w:ascii="Verdana" w:hAnsi="Verdana"/>
        </w:rPr>
        <w:t>avaliação atualizada</w:t>
      </w:r>
      <w:r w:rsidR="003E7A5B" w:rsidRPr="00F91F2E">
        <w:rPr>
          <w:rFonts w:ascii="Verdana" w:hAnsi="Verdana"/>
        </w:rPr>
        <w:t xml:space="preserve"> pelos índices d</w:t>
      </w:r>
      <w:r w:rsidR="00BA51E3">
        <w:rPr>
          <w:rFonts w:ascii="Verdana" w:hAnsi="Verdana"/>
        </w:rPr>
        <w:t>a</w:t>
      </w:r>
      <w:r w:rsidR="003E7A5B" w:rsidRPr="00F91F2E">
        <w:rPr>
          <w:rFonts w:ascii="Verdana" w:hAnsi="Verdana"/>
        </w:rPr>
        <w:t xml:space="preserve"> T</w:t>
      </w:r>
      <w:r w:rsidR="00BA51E3">
        <w:rPr>
          <w:rFonts w:ascii="Verdana" w:hAnsi="Verdana"/>
        </w:rPr>
        <w:t>abela FI</w:t>
      </w:r>
      <w:r w:rsidR="00C7621C" w:rsidRPr="00F91F2E">
        <w:rPr>
          <w:rFonts w:ascii="Verdana" w:hAnsi="Verdana"/>
        </w:rPr>
        <w:t>P</w:t>
      </w:r>
      <w:r w:rsidR="00BA51E3">
        <w:rPr>
          <w:rFonts w:ascii="Verdana" w:hAnsi="Verdana"/>
        </w:rPr>
        <w:t>E</w:t>
      </w:r>
      <w:r w:rsidR="003E7A5B" w:rsidRPr="00F91F2E">
        <w:rPr>
          <w:rFonts w:ascii="Verdana" w:hAnsi="Verdana"/>
        </w:rPr>
        <w:t xml:space="preserve"> para a data da abertura do leilão que deverá ser </w:t>
      </w:r>
      <w:r w:rsidR="004F3CCD" w:rsidRPr="00F91F2E">
        <w:rPr>
          <w:rFonts w:ascii="Verdana" w:hAnsi="Verdana"/>
        </w:rPr>
        <w:t>ofertado diretamente</w:t>
      </w:r>
      <w:r w:rsidR="003E7A5B" w:rsidRPr="00F91F2E">
        <w:rPr>
          <w:rFonts w:ascii="Verdana" w:hAnsi="Verdana"/>
        </w:rPr>
        <w:t xml:space="preserve"> n</w:t>
      </w:r>
      <w:r w:rsidR="0086042E" w:rsidRPr="00F91F2E">
        <w:rPr>
          <w:rFonts w:ascii="Verdana" w:hAnsi="Verdana"/>
        </w:rPr>
        <w:t xml:space="preserve">a </w:t>
      </w:r>
      <w:r w:rsidR="004F3CCD" w:rsidRPr="00F91F2E">
        <w:rPr>
          <w:rFonts w:ascii="Verdana" w:hAnsi="Verdana"/>
        </w:rPr>
        <w:t>plataforma através</w:t>
      </w:r>
      <w:r w:rsidR="003E7A5B" w:rsidRPr="00F91F2E">
        <w:rPr>
          <w:rFonts w:ascii="Verdana" w:hAnsi="Verdana"/>
        </w:rPr>
        <w:t xml:space="preserve"> da internet.</w:t>
      </w:r>
    </w:p>
    <w:p w14:paraId="4501EC9A" w14:textId="77777777" w:rsidR="003A6864" w:rsidRPr="003A6864" w:rsidRDefault="003E7A5B" w:rsidP="003A6864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Bem:</w:t>
      </w:r>
      <w:r w:rsidR="003A6864">
        <w:rPr>
          <w:rFonts w:ascii="Verdana" w:hAnsi="Verdana"/>
        </w:rPr>
        <w:t xml:space="preserve"> Moto marca </w:t>
      </w:r>
      <w:r w:rsidR="003A6864" w:rsidRPr="003A6864">
        <w:rPr>
          <w:rFonts w:ascii="Verdana" w:hAnsi="Verdana"/>
        </w:rPr>
        <w:t>Honda, modelo CG 150 FAN ESI,</w:t>
      </w:r>
      <w:r w:rsidR="003A6864">
        <w:rPr>
          <w:rFonts w:ascii="Verdana" w:hAnsi="Verdana"/>
        </w:rPr>
        <w:t xml:space="preserve"> cor preta, </w:t>
      </w:r>
      <w:r w:rsidR="003A6864" w:rsidRPr="003A6864">
        <w:rPr>
          <w:rFonts w:ascii="Verdana" w:hAnsi="Verdana"/>
        </w:rPr>
        <w:t>ano</w:t>
      </w:r>
      <w:r w:rsidR="003A6864">
        <w:rPr>
          <w:rFonts w:ascii="Verdana" w:hAnsi="Verdana"/>
        </w:rPr>
        <w:t xml:space="preserve"> de fabricação</w:t>
      </w:r>
      <w:r w:rsidR="003A6864" w:rsidRPr="003A6864">
        <w:rPr>
          <w:rFonts w:ascii="Verdana" w:hAnsi="Verdana"/>
        </w:rPr>
        <w:t>/modelo 2012, placa ESQ-2454</w:t>
      </w:r>
      <w:r w:rsidR="003A6864">
        <w:rPr>
          <w:rFonts w:ascii="Verdana" w:hAnsi="Verdana"/>
        </w:rPr>
        <w:t xml:space="preserve">. Conforme a avaliação juntada aos autos, o bem se encontra </w:t>
      </w:r>
      <w:r w:rsidR="003A6864" w:rsidRPr="003A6864">
        <w:rPr>
          <w:rFonts w:ascii="Verdana" w:hAnsi="Verdana"/>
        </w:rPr>
        <w:t>em</w:t>
      </w:r>
      <w:r w:rsidR="003A6864">
        <w:rPr>
          <w:rFonts w:ascii="Verdana" w:hAnsi="Verdana"/>
        </w:rPr>
        <w:t xml:space="preserve"> </w:t>
      </w:r>
      <w:r w:rsidR="003A6864" w:rsidRPr="003A6864">
        <w:rPr>
          <w:rFonts w:ascii="Verdana" w:hAnsi="Verdana"/>
        </w:rPr>
        <w:t>regular estado de conservação, com riscos na pintura e banco danificado</w:t>
      </w:r>
      <w:r w:rsidR="003A6864">
        <w:rPr>
          <w:rFonts w:ascii="Verdana" w:hAnsi="Verdana"/>
        </w:rPr>
        <w:t xml:space="preserve">. Local da Penhora: </w:t>
      </w:r>
      <w:r w:rsidR="003A6864" w:rsidRPr="003A6864">
        <w:rPr>
          <w:rFonts w:ascii="Verdana" w:hAnsi="Verdana"/>
        </w:rPr>
        <w:t>Rua João Ramalho</w:t>
      </w:r>
      <w:r w:rsidR="003A6864">
        <w:rPr>
          <w:rFonts w:ascii="Verdana" w:hAnsi="Verdana"/>
        </w:rPr>
        <w:t xml:space="preserve"> nº </w:t>
      </w:r>
      <w:r w:rsidR="003A6864" w:rsidRPr="003A6864">
        <w:rPr>
          <w:rFonts w:ascii="Verdana" w:hAnsi="Verdana"/>
        </w:rPr>
        <w:t>495, Residencial Novo Horizonte, CEP 12042-303, Taubaté/SP</w:t>
      </w:r>
      <w:r w:rsidR="003A6864">
        <w:rPr>
          <w:rFonts w:ascii="Verdana" w:hAnsi="Verdana"/>
        </w:rPr>
        <w:t xml:space="preserve">. Depositário: </w:t>
      </w:r>
      <w:r w:rsidR="003A6864" w:rsidRPr="003A6864">
        <w:rPr>
          <w:rFonts w:ascii="Verdana" w:hAnsi="Verdana"/>
        </w:rPr>
        <w:t>Orlando Rui de Oliveira</w:t>
      </w:r>
      <w:r w:rsidR="003A6864">
        <w:rPr>
          <w:rFonts w:ascii="Verdana" w:hAnsi="Verdana"/>
        </w:rPr>
        <w:t>.</w:t>
      </w:r>
    </w:p>
    <w:p w14:paraId="75DE9853" w14:textId="77777777" w:rsidR="0086042E" w:rsidRPr="00F91F2E" w:rsidRDefault="00A34BE7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Avaliação</w:t>
      </w:r>
      <w:r w:rsidR="00BA51E3">
        <w:rPr>
          <w:rFonts w:ascii="Verdana" w:hAnsi="Verdana"/>
        </w:rPr>
        <w:t xml:space="preserve"> R</w:t>
      </w:r>
      <w:r w:rsidR="00BA51E3" w:rsidRPr="00BA51E3">
        <w:rPr>
          <w:rFonts w:ascii="Verdana" w:hAnsi="Verdana"/>
        </w:rPr>
        <w:t>$ 11.272,00</w:t>
      </w:r>
      <w:r w:rsidR="00BA51E3">
        <w:rPr>
          <w:rFonts w:ascii="Verdana" w:hAnsi="Verdana"/>
        </w:rPr>
        <w:t xml:space="preserve"> (abril/2026).</w:t>
      </w:r>
    </w:p>
    <w:p w14:paraId="778693D2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lastRenderedPageBreak/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00E1E03F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74647539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Da Comissão: A comissão d</w:t>
      </w:r>
      <w:r w:rsidR="003A6864">
        <w:rPr>
          <w:rFonts w:ascii="Verdana" w:hAnsi="Verdana"/>
        </w:rPr>
        <w:t>a</w:t>
      </w:r>
      <w:r w:rsidRPr="00F91F2E">
        <w:rPr>
          <w:rFonts w:ascii="Verdana" w:hAnsi="Verdana"/>
        </w:rPr>
        <w:t xml:space="preserve"> leiloeir</w:t>
      </w:r>
      <w:r w:rsidR="003A6864">
        <w:rPr>
          <w:rFonts w:ascii="Verdana" w:hAnsi="Verdana"/>
        </w:rPr>
        <w:t>a</w:t>
      </w:r>
      <w:r w:rsidRPr="00F91F2E">
        <w:rPr>
          <w:rFonts w:ascii="Verdana" w:hAnsi="Verdana"/>
        </w:rPr>
        <w:t xml:space="preserve"> será de 5% sobre o valor da arrematação artigo 7° da Resolução 236/2016 do CNJ, não estando incluída no valor da arrematação e deverá ser paga diretamente à Leiloeira Oficial.</w:t>
      </w:r>
    </w:p>
    <w:p w14:paraId="4CF20F95" w14:textId="77777777" w:rsidR="0059043D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Da Adjudicação: Condicionada aos termos do art. 876 e 892, §1° do </w:t>
      </w:r>
      <w:r w:rsidR="00D940C6">
        <w:rPr>
          <w:rFonts w:ascii="Verdana" w:hAnsi="Verdana"/>
        </w:rPr>
        <w:t>CPC</w:t>
      </w:r>
      <w:r w:rsidR="00E63E5C">
        <w:rPr>
          <w:rFonts w:ascii="Verdana" w:hAnsi="Verdana"/>
        </w:rPr>
        <w:t>.</w:t>
      </w:r>
    </w:p>
    <w:p w14:paraId="7D4CA084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 xml:space="preserve">Do pagamento parcelado: O parcelamento da arrematação dar-se-á nos termos da Lei; artigo 895 do código de processo civil, “§ 2º, 7º e 8º todos do mesmo artigo e, artigo 14 e 22 da Resolução 236/2016 do CNJ compreendendo a ampla divulgação e transparência necessárias ao judiciário; ainda na busca do maior valor, menor prazo de pagamento e transparência, poderá o interessado ofertar “Real Time dentro do Auditório Virtual”, valor e quantidade de parcelas diferente para cada lance ofertado, ressaltando que o valor da entrada não poderá ser inferior a </w:t>
      </w:r>
      <w:r>
        <w:rPr>
          <w:rFonts w:ascii="Verdana" w:hAnsi="Verdana"/>
        </w:rPr>
        <w:t>25</w:t>
      </w:r>
      <w:r w:rsidRPr="00BE4B17">
        <w:rPr>
          <w:rFonts w:ascii="Verdana" w:hAnsi="Verdana"/>
        </w:rPr>
        <w:t xml:space="preserve">% do valor do lance ofertado e o prazo não poderá ser  superior a </w:t>
      </w:r>
      <w:r>
        <w:rPr>
          <w:rFonts w:ascii="Verdana" w:hAnsi="Verdana"/>
        </w:rPr>
        <w:t xml:space="preserve">30 parcelas mensais e </w:t>
      </w:r>
      <w:r w:rsidRPr="00BE4B17">
        <w:rPr>
          <w:rFonts w:ascii="Verdana" w:hAnsi="Verdana"/>
        </w:rPr>
        <w:t>consecutivos.</w:t>
      </w:r>
      <w:r>
        <w:rPr>
          <w:rFonts w:ascii="Verdana" w:hAnsi="Verdana"/>
        </w:rPr>
        <w:t xml:space="preserve"> Devidamente atualizada pelos índices definidos pelo MM. Juiz. </w:t>
      </w:r>
      <w:r w:rsidRPr="00BE4B17">
        <w:rPr>
          <w:rFonts w:ascii="Verdana" w:hAnsi="Verdana"/>
        </w:rPr>
        <w:t xml:space="preserve">  As </w:t>
      </w:r>
      <w:r>
        <w:rPr>
          <w:rFonts w:ascii="Verdana" w:hAnsi="Verdana"/>
        </w:rPr>
        <w:t>guias</w:t>
      </w:r>
      <w:r w:rsidRPr="00BE4B17">
        <w:rPr>
          <w:rFonts w:ascii="Verdana" w:hAnsi="Verdana"/>
        </w:rPr>
        <w:t xml:space="preserve"> para pagamento das parcelas mensais deverão ser geradas pelo próprio arrematante diretamente no site do Tribunal; deverá também o interessado atentar para o disposto nos demais parágrafos do artigo 895 quanto a data para pagamento das parcelas, das garantias, da </w:t>
      </w:r>
      <w:r w:rsidRPr="00BE4B17">
        <w:rPr>
          <w:rFonts w:ascii="Verdana" w:hAnsi="Verdana"/>
        </w:rPr>
        <w:lastRenderedPageBreak/>
        <w:t>atualização mensal das parcelas vincendas e da decisão exarada pelo MM. Juiz nos autos.</w:t>
      </w:r>
    </w:p>
    <w:p w14:paraId="7FB6DC8A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arrematados; exceto os que se enquadrem nos art. 130, § único do CTN e art. 908, § 1° do código de processo civil. Será também de inteira responsabilidade do arrematante a juntada de comprovantes de pagamento e outros aos autos. Caberá também ao arrematante as providencias necessárias para os pedidos de baixas de restrições junto as Varas respectivas, DETRAN e congêneres.</w:t>
      </w:r>
    </w:p>
    <w:p w14:paraId="25378C40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5F0C3F4D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Recursos: Dos autos não consta recursos ou causa pendente de julgamento.</w:t>
      </w:r>
    </w:p>
    <w:p w14:paraId="73E554D2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Da Carta de arrematação: A carta de arrematação será expedida pelo MM. Juiz nos termos dos art. 901 e 903 do código de processo civil.</w:t>
      </w:r>
    </w:p>
    <w:p w14:paraId="3FF3F30D" w14:textId="77777777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Dúvidas e Esclarecimentos: pessoalmente perante o </w:t>
      </w:r>
      <w:r w:rsidR="00D940C6">
        <w:rPr>
          <w:rFonts w:ascii="Verdana" w:hAnsi="Verdana"/>
        </w:rPr>
        <w:t>4</w:t>
      </w:r>
      <w:r w:rsidR="004F3CCD" w:rsidRPr="00F91F2E">
        <w:rPr>
          <w:rFonts w:ascii="Verdana" w:hAnsi="Verdana"/>
        </w:rPr>
        <w:t>º</w:t>
      </w:r>
      <w:r w:rsidRPr="00F91F2E">
        <w:rPr>
          <w:rFonts w:ascii="Verdana" w:hAnsi="Verdana"/>
        </w:rPr>
        <w:t xml:space="preserve"> Ofício Cível, ou no escritório d</w:t>
      </w:r>
      <w:r w:rsidR="00D940C6">
        <w:rPr>
          <w:rFonts w:ascii="Verdana" w:hAnsi="Verdana"/>
        </w:rPr>
        <w:t>a</w:t>
      </w:r>
      <w:r w:rsidRPr="00F91F2E">
        <w:rPr>
          <w:rFonts w:ascii="Verdana" w:hAnsi="Verdana"/>
        </w:rPr>
        <w:t xml:space="preserve"> Leiloeir</w:t>
      </w:r>
      <w:r w:rsidR="00D940C6">
        <w:rPr>
          <w:rFonts w:ascii="Verdana" w:hAnsi="Verdana"/>
        </w:rPr>
        <w:t>a</w:t>
      </w:r>
      <w:r w:rsidRPr="00F91F2E">
        <w:rPr>
          <w:rFonts w:ascii="Verdana" w:hAnsi="Verdana"/>
        </w:rPr>
        <w:t xml:space="preserve"> Oficial, Avenida </w:t>
      </w:r>
      <w:r w:rsidR="00B324D2">
        <w:rPr>
          <w:rFonts w:ascii="Verdana" w:hAnsi="Verdana"/>
        </w:rPr>
        <w:t>Marques de São Vicente</w:t>
      </w:r>
      <w:r w:rsidR="00D940C6">
        <w:rPr>
          <w:rFonts w:ascii="Verdana" w:hAnsi="Verdana"/>
        </w:rPr>
        <w:t xml:space="preserve"> nº</w:t>
      </w:r>
      <w:r w:rsidR="00B324D2">
        <w:rPr>
          <w:rFonts w:ascii="Verdana" w:hAnsi="Verdana"/>
        </w:rPr>
        <w:t xml:space="preserve"> 230</w:t>
      </w:r>
      <w:r w:rsidRPr="00F91F2E">
        <w:rPr>
          <w:rFonts w:ascii="Verdana" w:hAnsi="Verdana"/>
        </w:rPr>
        <w:t xml:space="preserve">, SP </w:t>
      </w:r>
      <w:r w:rsidR="00D940C6">
        <w:rPr>
          <w:rFonts w:ascii="Verdana" w:hAnsi="Verdana"/>
        </w:rPr>
        <w:t>–</w:t>
      </w:r>
      <w:r w:rsidRPr="00F91F2E">
        <w:rPr>
          <w:rFonts w:ascii="Verdana" w:hAnsi="Verdana"/>
        </w:rPr>
        <w:t xml:space="preserve"> Capital, ou ainda, pelo telefone </w:t>
      </w:r>
      <w:r w:rsidR="00D940C6">
        <w:rPr>
          <w:rFonts w:ascii="Verdana" w:hAnsi="Verdana"/>
        </w:rPr>
        <w:t>(</w:t>
      </w:r>
      <w:r w:rsidR="004F3CCD" w:rsidRPr="00F91F2E">
        <w:rPr>
          <w:rFonts w:ascii="Verdana" w:hAnsi="Verdana"/>
        </w:rPr>
        <w:t>11</w:t>
      </w:r>
      <w:r w:rsidR="00D940C6">
        <w:rPr>
          <w:rFonts w:ascii="Verdana" w:hAnsi="Verdana"/>
        </w:rPr>
        <w:t>)</w:t>
      </w:r>
      <w:r w:rsidR="004F3CCD" w:rsidRPr="00F91F2E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 xml:space="preserve">3965-0000 / WhatsApp </w:t>
      </w:r>
      <w:r w:rsidR="00D940C6">
        <w:rPr>
          <w:rFonts w:ascii="Verdana" w:hAnsi="Verdana"/>
        </w:rPr>
        <w:t>(</w:t>
      </w:r>
      <w:r w:rsidR="004F3CCD" w:rsidRPr="00F91F2E">
        <w:rPr>
          <w:rFonts w:ascii="Verdana" w:hAnsi="Verdana"/>
        </w:rPr>
        <w:t>11</w:t>
      </w:r>
      <w:r w:rsidR="00D940C6">
        <w:rPr>
          <w:rFonts w:ascii="Verdana" w:hAnsi="Verdana"/>
        </w:rPr>
        <w:t>)</w:t>
      </w:r>
      <w:r w:rsidRPr="00F91F2E">
        <w:rPr>
          <w:rFonts w:ascii="Verdana" w:hAnsi="Verdana"/>
        </w:rPr>
        <w:t xml:space="preserve"> 95662-5151, e e-mail: </w:t>
      </w:r>
      <w:hyperlink r:id="rId5" w:history="1">
        <w:r w:rsidRPr="00B324D2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F91F2E">
        <w:rPr>
          <w:rFonts w:ascii="Verdana" w:hAnsi="Verdana"/>
        </w:rPr>
        <w:t>.</w:t>
      </w:r>
    </w:p>
    <w:p w14:paraId="0CC00FD2" w14:textId="77777777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F91F2E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 xml:space="preserve">2° do CPC. </w:t>
      </w:r>
      <w:r w:rsidR="00D940C6">
        <w:rPr>
          <w:rFonts w:ascii="Verdana" w:hAnsi="Verdana"/>
        </w:rPr>
        <w:t>Taubaté</w:t>
      </w:r>
      <w:r w:rsidR="006306E9" w:rsidRPr="00F91F2E">
        <w:rPr>
          <w:rFonts w:ascii="Verdana" w:hAnsi="Verdana"/>
        </w:rPr>
        <w:t xml:space="preserve">, </w:t>
      </w:r>
      <w:r w:rsidR="00D940C6">
        <w:rPr>
          <w:rFonts w:ascii="Verdana" w:hAnsi="Verdana"/>
        </w:rPr>
        <w:t>02 de Abril</w:t>
      </w:r>
      <w:r w:rsidR="00B324D2">
        <w:rPr>
          <w:rFonts w:ascii="Verdana" w:hAnsi="Verdana"/>
        </w:rPr>
        <w:t xml:space="preserve"> </w:t>
      </w:r>
      <w:r w:rsidR="006306E9" w:rsidRPr="00F91F2E">
        <w:rPr>
          <w:rFonts w:ascii="Verdana" w:hAnsi="Verdana"/>
        </w:rPr>
        <w:t>de 202</w:t>
      </w:r>
      <w:r w:rsidR="00B324D2">
        <w:rPr>
          <w:rFonts w:ascii="Verdana" w:hAnsi="Verdana"/>
        </w:rPr>
        <w:t>6</w:t>
      </w:r>
      <w:r w:rsidR="006306E9" w:rsidRPr="00F91F2E">
        <w:rPr>
          <w:rFonts w:ascii="Verdana" w:hAnsi="Verdana"/>
        </w:rPr>
        <w:t>.</w:t>
      </w:r>
    </w:p>
    <w:p w14:paraId="3F2B9373" w14:textId="77777777" w:rsidR="00890A30" w:rsidRPr="00F91F2E" w:rsidRDefault="00890A30" w:rsidP="00F91F2E">
      <w:pPr>
        <w:spacing w:line="360" w:lineRule="auto"/>
        <w:jc w:val="both"/>
        <w:rPr>
          <w:rFonts w:ascii="Verdana" w:hAnsi="Verdana"/>
        </w:rPr>
      </w:pPr>
    </w:p>
    <w:sectPr w:rsidR="00890A30" w:rsidRPr="00F91F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C6"/>
    <w:rsid w:val="000618B5"/>
    <w:rsid w:val="000F38E3"/>
    <w:rsid w:val="00192A4C"/>
    <w:rsid w:val="001E5EAB"/>
    <w:rsid w:val="001F7E35"/>
    <w:rsid w:val="002B5774"/>
    <w:rsid w:val="002F1B3F"/>
    <w:rsid w:val="00303674"/>
    <w:rsid w:val="0034212F"/>
    <w:rsid w:val="003A6864"/>
    <w:rsid w:val="003E7A5B"/>
    <w:rsid w:val="00407590"/>
    <w:rsid w:val="004111DF"/>
    <w:rsid w:val="00444661"/>
    <w:rsid w:val="00460679"/>
    <w:rsid w:val="00471BC4"/>
    <w:rsid w:val="00494AEA"/>
    <w:rsid w:val="004A42F0"/>
    <w:rsid w:val="004D1854"/>
    <w:rsid w:val="004E57D0"/>
    <w:rsid w:val="004F3CCD"/>
    <w:rsid w:val="00535E93"/>
    <w:rsid w:val="00546D7D"/>
    <w:rsid w:val="0059043D"/>
    <w:rsid w:val="006306E9"/>
    <w:rsid w:val="006538C2"/>
    <w:rsid w:val="0068394C"/>
    <w:rsid w:val="007864ED"/>
    <w:rsid w:val="007C1943"/>
    <w:rsid w:val="007F6160"/>
    <w:rsid w:val="00826D26"/>
    <w:rsid w:val="00835AD5"/>
    <w:rsid w:val="0086042E"/>
    <w:rsid w:val="00890A30"/>
    <w:rsid w:val="008C58AF"/>
    <w:rsid w:val="00954FF0"/>
    <w:rsid w:val="009971CB"/>
    <w:rsid w:val="00A217ED"/>
    <w:rsid w:val="00A34BE7"/>
    <w:rsid w:val="00A77173"/>
    <w:rsid w:val="00AE5ED6"/>
    <w:rsid w:val="00B324D2"/>
    <w:rsid w:val="00BA2701"/>
    <w:rsid w:val="00BA51E3"/>
    <w:rsid w:val="00BE32DC"/>
    <w:rsid w:val="00BE4B17"/>
    <w:rsid w:val="00C108FC"/>
    <w:rsid w:val="00C12BB9"/>
    <w:rsid w:val="00C42391"/>
    <w:rsid w:val="00C7621C"/>
    <w:rsid w:val="00CB5A61"/>
    <w:rsid w:val="00D317F7"/>
    <w:rsid w:val="00D940C6"/>
    <w:rsid w:val="00E63E5C"/>
    <w:rsid w:val="00E824B6"/>
    <w:rsid w:val="00F65EDC"/>
    <w:rsid w:val="00F9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2BFFE"/>
  <w15:chartTrackingRefBased/>
  <w15:docId w15:val="{F3ED22D8-691D-4815-9978-D295616D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E7A5B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link w:val="Ttulo2"/>
    <w:uiPriority w:val="9"/>
    <w:semiHidden/>
    <w:rsid w:val="003E7A5B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3E7A5B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3E7A5B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link w:val="Ttulo5"/>
    <w:uiPriority w:val="9"/>
    <w:semiHidden/>
    <w:rsid w:val="003E7A5B"/>
    <w:rPr>
      <w:rFonts w:eastAsia="Times New Roman" w:cs="Times New Roman"/>
      <w:color w:val="0F4761"/>
    </w:rPr>
  </w:style>
  <w:style w:type="character" w:customStyle="1" w:styleId="Ttulo6Char">
    <w:name w:val="Título 6 Char"/>
    <w:link w:val="Ttulo6"/>
    <w:uiPriority w:val="9"/>
    <w:semiHidden/>
    <w:rsid w:val="003E7A5B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link w:val="Ttulo7"/>
    <w:uiPriority w:val="9"/>
    <w:semiHidden/>
    <w:rsid w:val="003E7A5B"/>
    <w:rPr>
      <w:rFonts w:eastAsia="Times New Roman" w:cs="Times New Roman"/>
      <w:color w:val="595959"/>
    </w:rPr>
  </w:style>
  <w:style w:type="character" w:customStyle="1" w:styleId="Ttulo8Char">
    <w:name w:val="Título 8 Char"/>
    <w:link w:val="Ttulo8"/>
    <w:uiPriority w:val="9"/>
    <w:semiHidden/>
    <w:rsid w:val="003E7A5B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link w:val="Ttulo9"/>
    <w:uiPriority w:val="9"/>
    <w:semiHidden/>
    <w:rsid w:val="003E7A5B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3E7A5B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link w:val="Subttulo"/>
    <w:uiPriority w:val="11"/>
    <w:rsid w:val="003E7A5B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3E7A5B"/>
    <w:rPr>
      <w:i/>
      <w:iCs/>
      <w:color w:val="404040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uiPriority w:val="21"/>
    <w:qFormat/>
    <w:rsid w:val="003E7A5B"/>
    <w:rPr>
      <w:i/>
      <w:iCs/>
      <w:color w:val="0F476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har">
    <w:name w:val="Citação Intensa Char"/>
    <w:link w:val="CitaoIntensa"/>
    <w:uiPriority w:val="30"/>
    <w:rsid w:val="003E7A5B"/>
    <w:rPr>
      <w:i/>
      <w:iCs/>
      <w:color w:val="0F4761"/>
    </w:rPr>
  </w:style>
  <w:style w:type="character" w:styleId="RefernciaIntensa">
    <w:name w:val="Intense Reference"/>
    <w:uiPriority w:val="32"/>
    <w:qFormat/>
    <w:rsid w:val="003E7A5B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3E7A5B"/>
    <w:rPr>
      <w:color w:val="467886"/>
      <w:u w:val="single"/>
    </w:rPr>
  </w:style>
  <w:style w:type="character" w:customStyle="1" w:styleId="MenoPendente1">
    <w:name w:val="Menção Pendente1"/>
    <w:uiPriority w:val="99"/>
    <w:semiHidden/>
    <w:unhideWhenUsed/>
    <w:rsid w:val="003E7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anp\Documents\Modelos%20Personalizados%20do%20Office\Edital%202026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Edital 2026</Template>
  <TotalTime>1</TotalTime>
  <Pages>4</Pages>
  <Words>824</Words>
  <Characters>4455</Characters>
  <Application>Microsoft Office Word</Application>
  <DocSecurity>4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Links>
    <vt:vector size="12" baseType="variant">
      <vt:variant>
        <vt:i4>8192015</vt:i4>
      </vt:variant>
      <vt:variant>
        <vt:i4>3</vt:i4>
      </vt:variant>
      <vt:variant>
        <vt:i4>0</vt:i4>
      </vt:variant>
      <vt:variant>
        <vt:i4>5</vt:i4>
      </vt:variant>
      <vt:variant>
        <vt:lpwstr>mailto:atendimento@leilaobrasil.com.br</vt:lpwstr>
      </vt:variant>
      <vt:variant>
        <vt:lpwstr/>
      </vt:variant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 Paulo</dc:creator>
  <cp:keywords/>
  <dc:description/>
  <cp:lastModifiedBy>Leilão Brasil</cp:lastModifiedBy>
  <cp:revision>2</cp:revision>
  <dcterms:created xsi:type="dcterms:W3CDTF">2026-08-10T11:34:00Z</dcterms:created>
  <dcterms:modified xsi:type="dcterms:W3CDTF">2026-08-10T11:34:00Z</dcterms:modified>
</cp:coreProperties>
</file>