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8CFC0" w14:textId="77777777" w:rsidR="00A34BE7" w:rsidRPr="00F91F2E" w:rsidRDefault="006F3071" w:rsidP="00F91F2E">
      <w:pPr>
        <w:spacing w:line="360" w:lineRule="auto"/>
        <w:jc w:val="center"/>
        <w:rPr>
          <w:rFonts w:ascii="Verdana" w:hAnsi="Verdana"/>
        </w:rPr>
      </w:pPr>
      <w:r w:rsidRPr="006F3071">
        <w:rPr>
          <w:rFonts w:ascii="Verdana" w:hAnsi="Verdana"/>
        </w:rPr>
        <w:t>2ª Vara Cível da Comarca de Barbacena</w:t>
      </w:r>
    </w:p>
    <w:p w14:paraId="2686B944" w14:textId="77777777" w:rsidR="00A34BE7" w:rsidRPr="00F91F2E" w:rsidRDefault="00A34BE7" w:rsidP="00F91F2E">
      <w:pPr>
        <w:spacing w:line="360" w:lineRule="auto"/>
        <w:jc w:val="both"/>
        <w:rPr>
          <w:rFonts w:ascii="Verdana" w:hAnsi="Verdana"/>
        </w:rPr>
      </w:pPr>
    </w:p>
    <w:p w14:paraId="197E283E" w14:textId="77777777" w:rsidR="00A34BE7" w:rsidRDefault="003E7A5B" w:rsidP="006F3071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 xml:space="preserve">Edital de 1° e 2° leilão de bem </w:t>
      </w:r>
      <w:r w:rsidR="009D0D09">
        <w:rPr>
          <w:rFonts w:ascii="Verdana" w:hAnsi="Verdana"/>
        </w:rPr>
        <w:t>imóvel</w:t>
      </w:r>
      <w:r w:rsidR="00BE4B17">
        <w:rPr>
          <w:rFonts w:ascii="Verdana" w:hAnsi="Verdana"/>
        </w:rPr>
        <w:t xml:space="preserve"> e </w:t>
      </w:r>
      <w:r w:rsidRPr="00F91F2E">
        <w:rPr>
          <w:rFonts w:ascii="Verdana" w:hAnsi="Verdana"/>
        </w:rPr>
        <w:t>para intimação de</w:t>
      </w:r>
      <w:r w:rsidR="000618B5" w:rsidRPr="00F91F2E">
        <w:rPr>
          <w:rFonts w:ascii="Verdana" w:hAnsi="Verdana"/>
        </w:rPr>
        <w:t xml:space="preserve"> </w:t>
      </w:r>
      <w:r w:rsidR="006F3071">
        <w:rPr>
          <w:rFonts w:ascii="Verdana" w:hAnsi="Verdana"/>
        </w:rPr>
        <w:t>Regina Maria Puiatti</w:t>
      </w:r>
      <w:r w:rsidR="00535E93" w:rsidRPr="00F91F2E">
        <w:rPr>
          <w:rFonts w:ascii="Verdana" w:hAnsi="Verdana"/>
        </w:rPr>
        <w:t xml:space="preserve">, </w:t>
      </w:r>
      <w:r w:rsidR="009D0D09">
        <w:rPr>
          <w:rFonts w:ascii="Verdana" w:hAnsi="Verdana"/>
        </w:rPr>
        <w:t>bem como seu cônjuge se casada for e dos coproprietários</w:t>
      </w:r>
      <w:r w:rsidR="00D533AF">
        <w:rPr>
          <w:rFonts w:ascii="Verdana" w:hAnsi="Verdana"/>
        </w:rPr>
        <w:t xml:space="preserve"> </w:t>
      </w:r>
      <w:r w:rsidR="009D0D09" w:rsidRPr="006030D2">
        <w:rPr>
          <w:rFonts w:ascii="Verdana" w:hAnsi="Verdana"/>
        </w:rPr>
        <w:t>Santo Puiatti</w:t>
      </w:r>
      <w:r w:rsidR="00D533AF">
        <w:rPr>
          <w:rFonts w:ascii="Verdana" w:hAnsi="Verdana"/>
        </w:rPr>
        <w:t xml:space="preserve">, </w:t>
      </w:r>
      <w:r w:rsidR="000D4A08">
        <w:rPr>
          <w:rFonts w:ascii="Verdana" w:hAnsi="Verdana"/>
        </w:rPr>
        <w:t>Victório Puiatti, Evangelista Puiatti, Carli</w:t>
      </w:r>
      <w:r w:rsidR="00D533AF">
        <w:rPr>
          <w:rFonts w:ascii="Verdana" w:hAnsi="Verdana"/>
        </w:rPr>
        <w:t xml:space="preserve">nda Puiatti e José Carlos Puiatti, </w:t>
      </w:r>
      <w:r w:rsidRPr="00F91F2E">
        <w:rPr>
          <w:rFonts w:ascii="Verdana" w:hAnsi="Verdana"/>
        </w:rPr>
        <w:t>expedido nos autos d</w:t>
      </w:r>
      <w:r w:rsidR="006F3071">
        <w:rPr>
          <w:rFonts w:ascii="Verdana" w:hAnsi="Verdana"/>
        </w:rPr>
        <w:t>a</w:t>
      </w:r>
      <w:r w:rsidRPr="00F91F2E">
        <w:rPr>
          <w:rFonts w:ascii="Verdana" w:hAnsi="Verdana"/>
        </w:rPr>
        <w:t xml:space="preserve"> </w:t>
      </w:r>
      <w:r w:rsidR="006F3071">
        <w:rPr>
          <w:rFonts w:ascii="Verdana" w:hAnsi="Verdana"/>
        </w:rPr>
        <w:t>Carta Precatória Cí</w:t>
      </w:r>
      <w:r w:rsidR="00BA2701" w:rsidRPr="00F91F2E">
        <w:rPr>
          <w:rFonts w:ascii="Verdana" w:hAnsi="Verdana"/>
        </w:rPr>
        <w:t>vel</w:t>
      </w:r>
      <w:r w:rsidRPr="00F91F2E">
        <w:rPr>
          <w:rFonts w:ascii="Verdana" w:hAnsi="Verdana"/>
        </w:rPr>
        <w:t xml:space="preserve">, que lhe </w:t>
      </w:r>
      <w:r w:rsidR="00BE4B17" w:rsidRPr="00F91F2E">
        <w:rPr>
          <w:rFonts w:ascii="Verdana" w:hAnsi="Verdana"/>
        </w:rPr>
        <w:t xml:space="preserve">requer </w:t>
      </w:r>
      <w:r w:rsidR="006F3071">
        <w:rPr>
          <w:rFonts w:ascii="Verdana" w:hAnsi="Verdana"/>
        </w:rPr>
        <w:t xml:space="preserve">Marcio Romao Dias. </w:t>
      </w:r>
      <w:r w:rsidR="00BE4B17" w:rsidRPr="00F91F2E">
        <w:rPr>
          <w:rFonts w:ascii="Verdana" w:hAnsi="Verdana"/>
        </w:rPr>
        <w:t>Processo</w:t>
      </w:r>
      <w:r w:rsidRPr="00F91F2E">
        <w:rPr>
          <w:rFonts w:ascii="Verdana" w:hAnsi="Verdana"/>
        </w:rPr>
        <w:t xml:space="preserve"> n° </w:t>
      </w:r>
      <w:r w:rsidR="00002319" w:rsidRPr="00002319">
        <w:rPr>
          <w:rFonts w:ascii="Verdana" w:hAnsi="Verdana"/>
        </w:rPr>
        <w:t>5009325-63.2024.8.13.0056</w:t>
      </w:r>
    </w:p>
    <w:p w14:paraId="17DA9164" w14:textId="77777777" w:rsidR="00546D7D" w:rsidRPr="00F91F2E" w:rsidRDefault="00546D7D" w:rsidP="00F91F2E">
      <w:pPr>
        <w:spacing w:line="360" w:lineRule="auto"/>
        <w:jc w:val="both"/>
        <w:rPr>
          <w:rFonts w:ascii="Verdana" w:hAnsi="Verdana"/>
        </w:rPr>
      </w:pPr>
    </w:p>
    <w:p w14:paraId="37086C04" w14:textId="77777777" w:rsidR="006306E9" w:rsidRPr="00F91F2E" w:rsidRDefault="00535E93" w:rsidP="00F91F2E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>O</w:t>
      </w:r>
      <w:r w:rsidR="00954FF0" w:rsidRPr="00F91F2E">
        <w:rPr>
          <w:rFonts w:ascii="Verdana" w:hAnsi="Verdana"/>
        </w:rPr>
        <w:t xml:space="preserve"> </w:t>
      </w:r>
      <w:r w:rsidR="003E7A5B" w:rsidRPr="00F91F2E">
        <w:rPr>
          <w:rFonts w:ascii="Verdana" w:hAnsi="Verdana"/>
        </w:rPr>
        <w:t>Dr</w:t>
      </w:r>
      <w:r w:rsidR="00A34BE7" w:rsidRPr="00F91F2E">
        <w:rPr>
          <w:rFonts w:ascii="Verdana" w:hAnsi="Verdana"/>
        </w:rPr>
        <w:t>.</w:t>
      </w:r>
      <w:r w:rsidR="00C7621C" w:rsidRPr="00F91F2E">
        <w:rPr>
          <w:rFonts w:ascii="Verdana" w:hAnsi="Verdana"/>
        </w:rPr>
        <w:t xml:space="preserve"> </w:t>
      </w:r>
      <w:r w:rsidR="001A7869" w:rsidRPr="001A7869">
        <w:rPr>
          <w:rFonts w:ascii="Verdana" w:hAnsi="Verdana"/>
        </w:rPr>
        <w:t>Marcos Alves de Andrade</w:t>
      </w:r>
      <w:r w:rsidR="003E7A5B" w:rsidRPr="00F91F2E">
        <w:rPr>
          <w:rFonts w:ascii="Verdana" w:hAnsi="Verdana"/>
        </w:rPr>
        <w:t>, Ju</w:t>
      </w:r>
      <w:r w:rsidRPr="00F91F2E">
        <w:rPr>
          <w:rFonts w:ascii="Verdana" w:hAnsi="Verdana"/>
        </w:rPr>
        <w:t>iz</w:t>
      </w:r>
      <w:r w:rsidR="003E7A5B" w:rsidRPr="00F91F2E">
        <w:rPr>
          <w:rFonts w:ascii="Verdana" w:hAnsi="Verdana"/>
        </w:rPr>
        <w:t xml:space="preserve"> de Direito da </w:t>
      </w:r>
      <w:bookmarkStart w:id="0" w:name="_Hlk216097965"/>
      <w:r w:rsidR="006F3071" w:rsidRPr="006F3071">
        <w:rPr>
          <w:rFonts w:ascii="Verdana" w:hAnsi="Verdana"/>
        </w:rPr>
        <w:t>2ª Vara Cível da Comarca de Barbacena</w:t>
      </w:r>
      <w:r w:rsidR="006F3071">
        <w:rPr>
          <w:rFonts w:ascii="Verdana" w:hAnsi="Verdana"/>
        </w:rPr>
        <w:t>,</w:t>
      </w:r>
      <w:r w:rsidR="00546D7D">
        <w:rPr>
          <w:rFonts w:ascii="Verdana" w:hAnsi="Verdana"/>
        </w:rPr>
        <w:t xml:space="preserve"> do </w:t>
      </w:r>
      <w:r w:rsidR="00BE4B17">
        <w:rPr>
          <w:rFonts w:ascii="Verdana" w:hAnsi="Verdana"/>
        </w:rPr>
        <w:t xml:space="preserve">Estado </w:t>
      </w:r>
      <w:r w:rsidR="00BE4B17" w:rsidRPr="00F91F2E">
        <w:rPr>
          <w:rFonts w:ascii="Verdana" w:hAnsi="Verdana"/>
        </w:rPr>
        <w:t>de</w:t>
      </w:r>
      <w:r w:rsidR="00A34BE7" w:rsidRPr="00F91F2E">
        <w:rPr>
          <w:rFonts w:ascii="Verdana" w:hAnsi="Verdana"/>
        </w:rPr>
        <w:t xml:space="preserve"> </w:t>
      </w:r>
      <w:r w:rsidR="006F3071">
        <w:rPr>
          <w:rFonts w:ascii="Verdana" w:hAnsi="Verdana"/>
        </w:rPr>
        <w:t>Minas Gerais</w:t>
      </w:r>
      <w:bookmarkEnd w:id="0"/>
      <w:r w:rsidR="00BA2701" w:rsidRPr="00F91F2E">
        <w:rPr>
          <w:rFonts w:ascii="Verdana" w:hAnsi="Verdana"/>
        </w:rPr>
        <w:t>,</w:t>
      </w:r>
      <w:r w:rsidR="003E7A5B" w:rsidRPr="00F91F2E">
        <w:rPr>
          <w:rFonts w:ascii="Verdana" w:hAnsi="Verdana"/>
        </w:rPr>
        <w:t xml:space="preserve"> na forma da lei, etc...</w:t>
      </w:r>
    </w:p>
    <w:p w14:paraId="5924A241" w14:textId="77777777" w:rsidR="003E7A5B" w:rsidRDefault="003E7A5B" w:rsidP="00F91F2E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 xml:space="preserve">Faz Saber que </w:t>
      </w:r>
      <w:r w:rsidR="00D533AF">
        <w:rPr>
          <w:rFonts w:ascii="Verdana" w:hAnsi="Verdana"/>
        </w:rPr>
        <w:t>o Sr. Irani Flores, JUCEMG 1285,</w:t>
      </w:r>
      <w:r w:rsidRPr="00F91F2E">
        <w:rPr>
          <w:rFonts w:ascii="Verdana" w:hAnsi="Verdana"/>
        </w:rPr>
        <w:t xml:space="preserve"> levará a leilão público para venda e arrematação, no local e hora descritos no </w:t>
      </w:r>
      <w:r w:rsidR="0086042E" w:rsidRPr="00F91F2E">
        <w:rPr>
          <w:rFonts w:ascii="Verdana" w:hAnsi="Verdana"/>
        </w:rPr>
        <w:t>edital</w:t>
      </w:r>
      <w:r w:rsidRPr="00F91F2E">
        <w:rPr>
          <w:rFonts w:ascii="Verdana" w:hAnsi="Verdana"/>
        </w:rPr>
        <w:t xml:space="preserve"> com transmissão pela internet e disponibilização imediata n</w:t>
      </w:r>
      <w:r w:rsidR="0086042E" w:rsidRPr="00F91F2E">
        <w:rPr>
          <w:rFonts w:ascii="Verdana" w:hAnsi="Verdana"/>
        </w:rPr>
        <w:t xml:space="preserve">a plataforma </w:t>
      </w:r>
      <w:r w:rsidRPr="00F91F2E">
        <w:rPr>
          <w:rFonts w:ascii="Verdana" w:hAnsi="Verdana"/>
        </w:rPr>
        <w:t xml:space="preserve">de leilões eletrônicos, </w:t>
      </w:r>
      <w:hyperlink r:id="rId4" w:history="1">
        <w:r w:rsidRPr="00546D7D">
          <w:rPr>
            <w:rStyle w:val="Hyperlink"/>
            <w:rFonts w:ascii="Verdana" w:hAnsi="Verdana"/>
            <w:color w:val="0000FF"/>
          </w:rPr>
          <w:t>www.leilaobrasil.com.br</w:t>
        </w:r>
      </w:hyperlink>
      <w:r w:rsidR="00546D7D">
        <w:rPr>
          <w:rFonts w:ascii="Verdana" w:hAnsi="Verdana"/>
        </w:rPr>
        <w:t xml:space="preserve"> para lances através da internet.</w:t>
      </w:r>
    </w:p>
    <w:p w14:paraId="6D71786B" w14:textId="1FCC1FC5" w:rsidR="003E7A5B" w:rsidRPr="00F91F2E" w:rsidRDefault="00C07B45" w:rsidP="00C07B45">
      <w:pPr>
        <w:spacing w:line="360" w:lineRule="auto"/>
        <w:jc w:val="both"/>
        <w:rPr>
          <w:rFonts w:ascii="Verdana" w:hAnsi="Verdana"/>
        </w:rPr>
      </w:pPr>
      <w:r w:rsidRPr="00C07B45">
        <w:rPr>
          <w:rFonts w:ascii="Verdana" w:hAnsi="Verdana"/>
        </w:rPr>
        <w:t>Do Início e encerramento do Leilao: Início do 1º leilão em  02/10/2026 10:</w:t>
      </w:r>
      <w:r w:rsidR="00847665">
        <w:rPr>
          <w:rFonts w:ascii="Verdana" w:hAnsi="Verdana"/>
        </w:rPr>
        <w:t>37</w:t>
      </w:r>
      <w:r w:rsidRPr="00C07B45">
        <w:rPr>
          <w:rFonts w:ascii="Verdana" w:hAnsi="Verdana"/>
        </w:rPr>
        <w:t xml:space="preserve"> horas e encerramento do 1° leilão em 05/10/2026 às 10:</w:t>
      </w:r>
      <w:r w:rsidR="00847665">
        <w:rPr>
          <w:rFonts w:ascii="Verdana" w:hAnsi="Verdana"/>
        </w:rPr>
        <w:t>37</w:t>
      </w:r>
      <w:r w:rsidRPr="00C07B45">
        <w:rPr>
          <w:rFonts w:ascii="Verdana" w:hAnsi="Verdana"/>
        </w:rPr>
        <w:t xml:space="preserve"> horas, em não havendo lance igual ou superior ao valor da avaliação atualizada para a data supra, seguir-se-á sem interrupção o 2° leilão que se encerrará em 30/10/2026 às 10:</w:t>
      </w:r>
      <w:r w:rsidR="00847665">
        <w:rPr>
          <w:rFonts w:ascii="Verdana" w:hAnsi="Verdana"/>
        </w:rPr>
        <w:t>37</w:t>
      </w:r>
      <w:r w:rsidRPr="00C07B45">
        <w:rPr>
          <w:rFonts w:ascii="Verdana" w:hAnsi="Verdana"/>
        </w:rPr>
        <w:t xml:space="preserve"> horas,</w:t>
      </w:r>
      <w:r w:rsidR="003E7A5B" w:rsidRPr="00F91F2E">
        <w:rPr>
          <w:rFonts w:ascii="Verdana" w:hAnsi="Verdana"/>
        </w:rPr>
        <w:t xml:space="preserve"> não sendo aceito lances inferiores a </w:t>
      </w:r>
      <w:r w:rsidR="001A7869">
        <w:rPr>
          <w:rFonts w:ascii="Verdana" w:hAnsi="Verdana"/>
        </w:rPr>
        <w:t xml:space="preserve">60% </w:t>
      </w:r>
      <w:r w:rsidR="003E7A5B" w:rsidRPr="00F91F2E">
        <w:rPr>
          <w:rFonts w:ascii="Verdana" w:hAnsi="Verdana"/>
        </w:rPr>
        <w:t xml:space="preserve">do valor da </w:t>
      </w:r>
      <w:r w:rsidR="004F3CCD" w:rsidRPr="00F91F2E">
        <w:rPr>
          <w:rFonts w:ascii="Verdana" w:hAnsi="Verdana"/>
        </w:rPr>
        <w:t>avaliação atualizada</w:t>
      </w:r>
      <w:r w:rsidR="003E7A5B" w:rsidRPr="00F91F2E">
        <w:rPr>
          <w:rFonts w:ascii="Verdana" w:hAnsi="Verdana"/>
        </w:rPr>
        <w:t xml:space="preserve"> pelos índices do </w:t>
      </w:r>
      <w:r w:rsidR="001A7869" w:rsidRPr="001A7869">
        <w:rPr>
          <w:rFonts w:ascii="Verdana" w:hAnsi="Verdana"/>
        </w:rPr>
        <w:t>CGJEMG</w:t>
      </w:r>
      <w:r w:rsidR="003E7A5B" w:rsidRPr="00F91F2E">
        <w:rPr>
          <w:rFonts w:ascii="Verdana" w:hAnsi="Verdana"/>
        </w:rPr>
        <w:t xml:space="preserve"> para a data da abertura do leilão que deverá ser </w:t>
      </w:r>
      <w:r w:rsidR="004F3CCD" w:rsidRPr="00F91F2E">
        <w:rPr>
          <w:rFonts w:ascii="Verdana" w:hAnsi="Verdana"/>
        </w:rPr>
        <w:t>ofertado diretamente</w:t>
      </w:r>
      <w:r w:rsidR="003E7A5B" w:rsidRPr="00F91F2E">
        <w:rPr>
          <w:rFonts w:ascii="Verdana" w:hAnsi="Verdana"/>
        </w:rPr>
        <w:t xml:space="preserve"> n</w:t>
      </w:r>
      <w:r w:rsidR="0086042E" w:rsidRPr="00F91F2E">
        <w:rPr>
          <w:rFonts w:ascii="Verdana" w:hAnsi="Verdana"/>
        </w:rPr>
        <w:t xml:space="preserve">a </w:t>
      </w:r>
      <w:r w:rsidR="004F3CCD" w:rsidRPr="00F91F2E">
        <w:rPr>
          <w:rFonts w:ascii="Verdana" w:hAnsi="Verdana"/>
        </w:rPr>
        <w:t>plataforma</w:t>
      </w:r>
      <w:r w:rsidR="00601A67">
        <w:rPr>
          <w:rFonts w:ascii="Verdana" w:hAnsi="Verdana"/>
        </w:rPr>
        <w:t xml:space="preserve"> </w:t>
      </w:r>
      <w:hyperlink r:id="rId5" w:history="1">
        <w:r w:rsidR="00601A67" w:rsidRPr="00601A67">
          <w:rPr>
            <w:rStyle w:val="Hyperlink"/>
            <w:rFonts w:ascii="Verdana" w:hAnsi="Verdana"/>
            <w:b/>
            <w:bCs/>
            <w:color w:val="0000FF"/>
          </w:rPr>
          <w:t>www.leilaobrasil.com.br</w:t>
        </w:r>
      </w:hyperlink>
      <w:r w:rsidR="00601A67">
        <w:rPr>
          <w:rFonts w:ascii="Verdana" w:hAnsi="Verdana"/>
        </w:rPr>
        <w:t xml:space="preserve">, </w:t>
      </w:r>
      <w:r w:rsidR="004F3CCD" w:rsidRPr="00F91F2E">
        <w:rPr>
          <w:rFonts w:ascii="Verdana" w:hAnsi="Verdana"/>
        </w:rPr>
        <w:t xml:space="preserve"> através</w:t>
      </w:r>
      <w:r w:rsidR="003E7A5B" w:rsidRPr="00F91F2E">
        <w:rPr>
          <w:rFonts w:ascii="Verdana" w:hAnsi="Verdana"/>
        </w:rPr>
        <w:t xml:space="preserve"> da internet.</w:t>
      </w:r>
    </w:p>
    <w:p w14:paraId="7DC9BCDB" w14:textId="315C658C" w:rsidR="006030D2" w:rsidRPr="00F91F2E" w:rsidRDefault="003E7A5B" w:rsidP="00F91F2E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>Bem:</w:t>
      </w:r>
      <w:r w:rsidR="00E63E5C">
        <w:rPr>
          <w:rFonts w:ascii="Verdana" w:hAnsi="Verdana"/>
        </w:rPr>
        <w:t xml:space="preserve"> </w:t>
      </w:r>
      <w:r w:rsidR="00847665">
        <w:rPr>
          <w:rFonts w:ascii="Verdana" w:hAnsi="Verdana"/>
        </w:rPr>
        <w:t xml:space="preserve">Terreno com </w:t>
      </w:r>
      <w:r w:rsidR="00CE29ED">
        <w:rPr>
          <w:rFonts w:ascii="Verdana" w:hAnsi="Verdana"/>
        </w:rPr>
        <w:t xml:space="preserve"> </w:t>
      </w:r>
      <w:r w:rsidR="006030D2">
        <w:rPr>
          <w:rFonts w:ascii="Verdana" w:hAnsi="Verdana"/>
        </w:rPr>
        <w:t>0</w:t>
      </w:r>
      <w:r w:rsidR="00C07B45">
        <w:rPr>
          <w:rFonts w:ascii="Verdana" w:hAnsi="Verdana"/>
        </w:rPr>
        <w:t>,7744</w:t>
      </w:r>
      <w:r w:rsidR="006030D2">
        <w:rPr>
          <w:rFonts w:ascii="Verdana" w:hAnsi="Verdana"/>
        </w:rPr>
        <w:t xml:space="preserve"> ha </w:t>
      </w:r>
      <w:r w:rsidR="00002319">
        <w:rPr>
          <w:rFonts w:ascii="Verdana" w:hAnsi="Verdana"/>
        </w:rPr>
        <w:t xml:space="preserve"> de terras, ou seja, 7.744 m², e 1/20 das benfeitorias</w:t>
      </w:r>
      <w:r w:rsidR="006030D2">
        <w:rPr>
          <w:rFonts w:ascii="Verdana" w:hAnsi="Verdana"/>
        </w:rPr>
        <w:t xml:space="preserve"> pertencente à executada sobre o imóvel rural em área maior de </w:t>
      </w:r>
      <w:r w:rsidR="006030D2" w:rsidRPr="006030D2">
        <w:rPr>
          <w:rFonts w:ascii="Verdana" w:hAnsi="Verdana"/>
        </w:rPr>
        <w:t>15</w:t>
      </w:r>
      <w:r w:rsidR="006030D2">
        <w:rPr>
          <w:rFonts w:ascii="Verdana" w:hAnsi="Verdana"/>
        </w:rPr>
        <w:t>,</w:t>
      </w:r>
      <w:r w:rsidR="006030D2" w:rsidRPr="006030D2">
        <w:rPr>
          <w:rFonts w:ascii="Verdana" w:hAnsi="Verdana"/>
        </w:rPr>
        <w:t>45ha</w:t>
      </w:r>
      <w:r w:rsidR="006030D2">
        <w:rPr>
          <w:rFonts w:ascii="Verdana" w:hAnsi="Verdana"/>
        </w:rPr>
        <w:t xml:space="preserve">, </w:t>
      </w:r>
      <w:r w:rsidR="006030D2" w:rsidRPr="006030D2">
        <w:rPr>
          <w:rFonts w:ascii="Verdana" w:hAnsi="Verdana"/>
        </w:rPr>
        <w:t>ou seja</w:t>
      </w:r>
      <w:r w:rsidR="006030D2">
        <w:rPr>
          <w:rFonts w:ascii="Verdana" w:hAnsi="Verdana"/>
        </w:rPr>
        <w:t>,</w:t>
      </w:r>
      <w:r w:rsidR="006030D2" w:rsidRPr="006030D2">
        <w:rPr>
          <w:rFonts w:ascii="Verdana" w:hAnsi="Verdana"/>
        </w:rPr>
        <w:t xml:space="preserve"> 5 alqueires de terras</w:t>
      </w:r>
      <w:r w:rsidR="006030D2">
        <w:rPr>
          <w:rFonts w:ascii="Verdana" w:hAnsi="Verdana"/>
        </w:rPr>
        <w:t xml:space="preserve"> localizado na Colonia </w:t>
      </w:r>
      <w:r w:rsidR="006030D2">
        <w:rPr>
          <w:rFonts w:ascii="Verdana" w:hAnsi="Verdana"/>
        </w:rPr>
        <w:lastRenderedPageBreak/>
        <w:t xml:space="preserve">Rodrigo Silva, </w:t>
      </w:r>
      <w:r w:rsidR="006030D2" w:rsidRPr="006030D2">
        <w:rPr>
          <w:rFonts w:ascii="Verdana" w:hAnsi="Verdana"/>
        </w:rPr>
        <w:t xml:space="preserve">próximo à Estação de Campolide da R.M.V., distrito da </w:t>
      </w:r>
      <w:r w:rsidR="006030D2">
        <w:rPr>
          <w:rFonts w:ascii="Verdana" w:hAnsi="Verdana"/>
        </w:rPr>
        <w:t>C</w:t>
      </w:r>
      <w:r w:rsidR="006030D2" w:rsidRPr="006030D2">
        <w:rPr>
          <w:rFonts w:ascii="Verdana" w:hAnsi="Verdana"/>
        </w:rPr>
        <w:t>idade</w:t>
      </w:r>
      <w:r w:rsidR="006030D2">
        <w:rPr>
          <w:rFonts w:ascii="Verdana" w:hAnsi="Verdana"/>
        </w:rPr>
        <w:t xml:space="preserve"> de Barbacena</w:t>
      </w:r>
      <w:r w:rsidR="006030D2" w:rsidRPr="006030D2">
        <w:rPr>
          <w:rFonts w:ascii="Verdana" w:hAnsi="Verdana"/>
        </w:rPr>
        <w:t xml:space="preserve">, dividindo com propriedades de Aranaldo Viana, Ernesto Puiatti, sucessores de João de Souza e Rio das </w:t>
      </w:r>
      <w:r w:rsidR="006030D2">
        <w:rPr>
          <w:rFonts w:ascii="Verdana" w:hAnsi="Verdana"/>
        </w:rPr>
        <w:t>M</w:t>
      </w:r>
      <w:r w:rsidR="006030D2" w:rsidRPr="006030D2">
        <w:rPr>
          <w:rFonts w:ascii="Verdana" w:hAnsi="Verdana"/>
        </w:rPr>
        <w:t>or</w:t>
      </w:r>
      <w:r w:rsidR="009D0D09">
        <w:rPr>
          <w:rFonts w:ascii="Verdana" w:hAnsi="Verdana"/>
        </w:rPr>
        <w:t>tes, assim mais uma casa tosca c</w:t>
      </w:r>
      <w:r w:rsidR="006030D2" w:rsidRPr="006030D2">
        <w:rPr>
          <w:rFonts w:ascii="Verdana" w:hAnsi="Verdana"/>
        </w:rPr>
        <w:t xml:space="preserve">oberta de telhas e tíjolos, sem vidraça edificada no </w:t>
      </w:r>
      <w:r w:rsidR="009D0D09" w:rsidRPr="006030D2">
        <w:rPr>
          <w:rFonts w:ascii="Verdana" w:hAnsi="Verdana"/>
        </w:rPr>
        <w:t>imóvel</w:t>
      </w:r>
      <w:r w:rsidR="006030D2" w:rsidRPr="006030D2">
        <w:rPr>
          <w:rFonts w:ascii="Verdana" w:hAnsi="Verdana"/>
        </w:rPr>
        <w:t xml:space="preserve"> descrito; um moinho, um paiol.</w:t>
      </w:r>
      <w:r w:rsidR="00E0627C">
        <w:rPr>
          <w:rFonts w:ascii="Verdana" w:hAnsi="Verdana"/>
        </w:rPr>
        <w:t xml:space="preserve"> </w:t>
      </w:r>
      <w:r w:rsidR="00002319" w:rsidRPr="00002319">
        <w:rPr>
          <w:rFonts w:ascii="Verdana" w:hAnsi="Verdana"/>
        </w:rPr>
        <w:t xml:space="preserve">O imóvel </w:t>
      </w:r>
      <w:r w:rsidR="00002319">
        <w:rPr>
          <w:rFonts w:ascii="Verdana" w:hAnsi="Verdana"/>
        </w:rPr>
        <w:t xml:space="preserve">está </w:t>
      </w:r>
      <w:r w:rsidR="00E0627C">
        <w:rPr>
          <w:rFonts w:ascii="Verdana" w:hAnsi="Verdana"/>
        </w:rPr>
        <w:t>situ</w:t>
      </w:r>
      <w:r w:rsidR="00002319">
        <w:rPr>
          <w:rFonts w:ascii="Verdana" w:hAnsi="Verdana"/>
        </w:rPr>
        <w:t xml:space="preserve">ado </w:t>
      </w:r>
      <w:r w:rsidR="00002319" w:rsidRPr="00002319">
        <w:rPr>
          <w:rFonts w:ascii="Verdana" w:hAnsi="Verdana"/>
        </w:rPr>
        <w:t xml:space="preserve">em um local de fácil acesso, ás margens da MG338, </w:t>
      </w:r>
      <w:r w:rsidR="00E0627C" w:rsidRPr="00002319">
        <w:rPr>
          <w:rFonts w:ascii="Verdana" w:hAnsi="Verdana"/>
        </w:rPr>
        <w:t>à</w:t>
      </w:r>
      <w:r w:rsidR="00002319" w:rsidRPr="00002319">
        <w:rPr>
          <w:rFonts w:ascii="Verdana" w:hAnsi="Verdana"/>
        </w:rPr>
        <w:t xml:space="preserve"> direita sentido</w:t>
      </w:r>
      <w:r w:rsidR="00E0627C">
        <w:rPr>
          <w:rFonts w:ascii="Verdana" w:hAnsi="Verdana"/>
        </w:rPr>
        <w:t xml:space="preserve"> </w:t>
      </w:r>
      <w:r w:rsidR="00002319" w:rsidRPr="00002319">
        <w:rPr>
          <w:rFonts w:ascii="Verdana" w:hAnsi="Verdana"/>
        </w:rPr>
        <w:t>Barbacena-lbertio</w:t>
      </w:r>
      <w:r w:rsidR="00E0627C">
        <w:rPr>
          <w:rFonts w:ascii="Verdana" w:hAnsi="Verdana"/>
        </w:rPr>
        <w:t>ga, nas proximidades do KM11/12</w:t>
      </w:r>
      <w:r w:rsidR="00002319" w:rsidRPr="00002319">
        <w:rPr>
          <w:rFonts w:ascii="Verdana" w:hAnsi="Verdana"/>
        </w:rPr>
        <w:t>.</w:t>
      </w:r>
      <w:r w:rsidR="00C07B45">
        <w:rPr>
          <w:rFonts w:ascii="Verdana" w:hAnsi="Verdana"/>
        </w:rPr>
        <w:t xml:space="preserve"> </w:t>
      </w:r>
      <w:r w:rsidR="006030D2">
        <w:rPr>
          <w:rFonts w:ascii="Verdana" w:hAnsi="Verdana"/>
        </w:rPr>
        <w:t>Matrícula nº 2.286 do 2º CRI de Barbacena/MG.</w:t>
      </w:r>
      <w:r w:rsidR="00D533AF">
        <w:rPr>
          <w:rFonts w:ascii="Verdana" w:hAnsi="Verdana"/>
        </w:rPr>
        <w:t xml:space="preserve"> Ônus: Consta no R.10, a penhora da parte ideal do imóvel pelo processo nº 0004374-42.2022.8.26.0405 da 4ª Vara Cível de Osasco.</w:t>
      </w:r>
    </w:p>
    <w:p w14:paraId="3F5F1598" w14:textId="66F67396" w:rsidR="0086042E" w:rsidRPr="00F91F2E" w:rsidRDefault="00A34BE7" w:rsidP="00F91F2E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>Avaliação</w:t>
      </w:r>
      <w:r w:rsidR="006030D2">
        <w:rPr>
          <w:rFonts w:ascii="Verdana" w:hAnsi="Verdana"/>
        </w:rPr>
        <w:t xml:space="preserve"> da parte ideal</w:t>
      </w:r>
      <w:r w:rsidR="0086042E" w:rsidRPr="00F91F2E">
        <w:rPr>
          <w:rFonts w:ascii="Verdana" w:hAnsi="Verdana"/>
        </w:rPr>
        <w:t xml:space="preserve"> R$ </w:t>
      </w:r>
      <w:r w:rsidR="006030D2">
        <w:rPr>
          <w:rFonts w:ascii="Verdana" w:hAnsi="Verdana"/>
        </w:rPr>
        <w:t>320.000,00</w:t>
      </w:r>
      <w:r w:rsidR="00A267F9">
        <w:rPr>
          <w:rFonts w:ascii="Verdana" w:hAnsi="Verdana"/>
        </w:rPr>
        <w:t xml:space="preserve"> (Setembro/2025)</w:t>
      </w:r>
    </w:p>
    <w:p w14:paraId="3DCC41C2" w14:textId="77777777" w:rsidR="0059043D" w:rsidRPr="00F91F2E" w:rsidRDefault="0059043D" w:rsidP="00F91F2E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>Quem pode ofertar lances: É permitido a todos interessados fazer lances diretamente no sistema gestor, desde que, cadastrado e habilitado com no mínimo 24 horas que antecedem o encerramento do leilão; exceto os que se enquadrem no art. 890 do CPC ainda que cadastrados e habilitados no sistema.</w:t>
      </w:r>
    </w:p>
    <w:p w14:paraId="60038BA3" w14:textId="77777777" w:rsidR="0059043D" w:rsidRPr="00F91F2E" w:rsidRDefault="0059043D" w:rsidP="00F91F2E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>Da Prorrogação do Leilão: Sobrevindo lance a menos de três minutos para o enceramento, o sistema prorrogará automaticamente por mais três minutos sucessivamente para que todos tenham as mesmas chances.</w:t>
      </w:r>
    </w:p>
    <w:p w14:paraId="0310D618" w14:textId="77777777" w:rsidR="0059043D" w:rsidRPr="00F91F2E" w:rsidRDefault="0059043D" w:rsidP="00F91F2E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 xml:space="preserve">Da Comissão: A comissão do leiloeiro será de 5% sobre o valor da arrematação artigo 7° da Resolução 236/2016 do CNJ, não estando incluída no valor da arrematação e deverá </w:t>
      </w:r>
      <w:r w:rsidR="006F3071">
        <w:rPr>
          <w:rFonts w:ascii="Verdana" w:hAnsi="Verdana"/>
        </w:rPr>
        <w:t>ser paga diretamente à Leiloeiro</w:t>
      </w:r>
      <w:r w:rsidRPr="00F91F2E">
        <w:rPr>
          <w:rFonts w:ascii="Verdana" w:hAnsi="Verdana"/>
        </w:rPr>
        <w:t xml:space="preserve"> Oficial.</w:t>
      </w:r>
    </w:p>
    <w:p w14:paraId="37F1FD15" w14:textId="77777777" w:rsidR="0059043D" w:rsidRDefault="0059043D" w:rsidP="00F91F2E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 xml:space="preserve">Da Adjudicação: Condicionada aos termos do art. 876 e 892, §1° do </w:t>
      </w:r>
      <w:r w:rsidR="00E63E5C">
        <w:rPr>
          <w:rFonts w:ascii="Verdana" w:hAnsi="Verdana"/>
        </w:rPr>
        <w:t>código de processo civil.</w:t>
      </w:r>
    </w:p>
    <w:p w14:paraId="5986E878" w14:textId="77777777" w:rsidR="00BE4B17" w:rsidRPr="00BE4B17" w:rsidRDefault="00BE4B17" w:rsidP="00BE4B17">
      <w:pPr>
        <w:spacing w:line="360" w:lineRule="auto"/>
        <w:jc w:val="both"/>
        <w:rPr>
          <w:rFonts w:ascii="Verdana" w:hAnsi="Verdana"/>
        </w:rPr>
      </w:pPr>
      <w:r w:rsidRPr="00BE4B17">
        <w:rPr>
          <w:rFonts w:ascii="Verdana" w:hAnsi="Verdana"/>
        </w:rPr>
        <w:t xml:space="preserve">Do pagamento parcelado: O parcelamento da arrematação dar-se-á nos termos da Lei; artigo 895 do código de processo civil, “§ 2º, 7º e 8º todos do mesmo artigo e, artigo 14 e 22 da Resolução 236/2016 do CNJ compreendendo a ampla divulgação e transparência necessárias </w:t>
      </w:r>
      <w:r w:rsidRPr="00BE4B17">
        <w:rPr>
          <w:rFonts w:ascii="Verdana" w:hAnsi="Verdana"/>
        </w:rPr>
        <w:lastRenderedPageBreak/>
        <w:t xml:space="preserve">ao judiciário; ainda na busca do maior valor, menor prazo de pagamento e transparência, poderá o interessado ofertar “Real Time dentro do Auditório Virtual”, valor e quantidade de parcelas diferente para cada lance ofertado, ressaltando que o valor da entrada não poderá ser inferior a </w:t>
      </w:r>
      <w:r>
        <w:rPr>
          <w:rFonts w:ascii="Verdana" w:hAnsi="Verdana"/>
        </w:rPr>
        <w:t>25</w:t>
      </w:r>
      <w:r w:rsidRPr="00BE4B17">
        <w:rPr>
          <w:rFonts w:ascii="Verdana" w:hAnsi="Verdana"/>
        </w:rPr>
        <w:t>% do valor do lance ofertado e o prazo não poderá ser</w:t>
      </w:r>
      <w:r w:rsidR="002C6D5C">
        <w:rPr>
          <w:rFonts w:ascii="Verdana" w:hAnsi="Verdana"/>
        </w:rPr>
        <w:t xml:space="preserve"> </w:t>
      </w:r>
      <w:r w:rsidRPr="00BE4B17">
        <w:rPr>
          <w:rFonts w:ascii="Verdana" w:hAnsi="Verdana"/>
        </w:rPr>
        <w:t xml:space="preserve">superior a </w:t>
      </w:r>
      <w:r>
        <w:rPr>
          <w:rFonts w:ascii="Verdana" w:hAnsi="Verdana"/>
        </w:rPr>
        <w:t xml:space="preserve">30 parcelas mensais e </w:t>
      </w:r>
      <w:r w:rsidRPr="00BE4B17">
        <w:rPr>
          <w:rFonts w:ascii="Verdana" w:hAnsi="Verdana"/>
        </w:rPr>
        <w:t>consecutivos.</w:t>
      </w:r>
      <w:r>
        <w:rPr>
          <w:rFonts w:ascii="Verdana" w:hAnsi="Verdana"/>
        </w:rPr>
        <w:t xml:space="preserve"> Devidamente atualizada pelos índices definidos pelo MM. Juiz.</w:t>
      </w:r>
      <w:r w:rsidR="002C6D5C">
        <w:rPr>
          <w:rFonts w:ascii="Verdana" w:hAnsi="Verdana"/>
        </w:rPr>
        <w:t xml:space="preserve"> </w:t>
      </w:r>
      <w:r w:rsidRPr="00BE4B17">
        <w:rPr>
          <w:rFonts w:ascii="Verdana" w:hAnsi="Verdana"/>
        </w:rPr>
        <w:t xml:space="preserve">As </w:t>
      </w:r>
      <w:r>
        <w:rPr>
          <w:rFonts w:ascii="Verdana" w:hAnsi="Verdana"/>
        </w:rPr>
        <w:t>guias</w:t>
      </w:r>
      <w:r w:rsidRPr="00BE4B17">
        <w:rPr>
          <w:rFonts w:ascii="Verdana" w:hAnsi="Verdana"/>
        </w:rPr>
        <w:t xml:space="preserve"> para pagamento das parcelas mensais deverão ser geradas pelo próprio arrematante diretamente no site do Tribunal; deverá também o interessado atentar para o disposto nos demais parágrafos do artigo 895 quanto a data para pagamento das parcelas, das garantias, da atualização mensal das parcelas vincendas e da decisão exarada pelo MM. Juiz nos autos.</w:t>
      </w:r>
    </w:p>
    <w:p w14:paraId="27912C45" w14:textId="77777777" w:rsidR="00BE4B17" w:rsidRPr="00BE4B17" w:rsidRDefault="00BE4B17" w:rsidP="00BE4B17">
      <w:pPr>
        <w:spacing w:line="360" w:lineRule="auto"/>
        <w:jc w:val="both"/>
        <w:rPr>
          <w:rFonts w:ascii="Verdana" w:hAnsi="Verdana"/>
        </w:rPr>
      </w:pPr>
      <w:r w:rsidRPr="00BE4B17">
        <w:rPr>
          <w:rFonts w:ascii="Verdana" w:hAnsi="Verdana"/>
        </w:rPr>
        <w:t>Responsabilidade outras: Correrão por conta exclusiva do arrematante as despesas gerais relativas à desmontagem, transporte e transferência patrimonial dos bens arrematados; exceto os que se enquadrem nos art. 130, § único do CTN e art. 908, § 1° do código de processo civil. Será também de inteira responsabilidade do arrematante a juntada de comprovantes de pagamento e outros aos autos. Caberá também ao arrematante as providencias necessárias para os pedidos de baixas de restrições junto as Varas respectivas, DETRAN e congêneres.</w:t>
      </w:r>
    </w:p>
    <w:p w14:paraId="075C2365" w14:textId="77777777" w:rsidR="00BE4B17" w:rsidRPr="00BE4B17" w:rsidRDefault="00BE4B17" w:rsidP="00BE4B17">
      <w:pPr>
        <w:spacing w:line="360" w:lineRule="auto"/>
        <w:jc w:val="both"/>
        <w:rPr>
          <w:rFonts w:ascii="Verdana" w:hAnsi="Verdana"/>
        </w:rPr>
      </w:pPr>
      <w:r w:rsidRPr="00BE4B17">
        <w:rPr>
          <w:rFonts w:ascii="Verdana" w:hAnsi="Verdana"/>
        </w:rPr>
        <w:t>Das Garantias: Os bens serão vendidos em caráter “ad corpus”, e no estado em que se encontram, cabendo exclusivamente ao interessado fazer a verificação inclusive processual antes de ofertar lances; ressaltando que as visitações nem sempre é possível uma vez que na maioria das vezes os bens se encontram na posse do executado.</w:t>
      </w:r>
    </w:p>
    <w:p w14:paraId="74C68260" w14:textId="77777777" w:rsidR="00BE4B17" w:rsidRPr="00BE4B17" w:rsidRDefault="00BE4B17" w:rsidP="00BE4B17">
      <w:pPr>
        <w:spacing w:line="360" w:lineRule="auto"/>
        <w:jc w:val="both"/>
        <w:rPr>
          <w:rFonts w:ascii="Verdana" w:hAnsi="Verdana"/>
        </w:rPr>
      </w:pPr>
      <w:r w:rsidRPr="00BE4B17">
        <w:rPr>
          <w:rFonts w:ascii="Verdana" w:hAnsi="Verdana"/>
        </w:rPr>
        <w:t>Recursos: Dos autos não consta recursos ou causa pendente de julgamento.</w:t>
      </w:r>
    </w:p>
    <w:p w14:paraId="7E848EEA" w14:textId="77777777" w:rsidR="00BE4B17" w:rsidRPr="00BE4B17" w:rsidRDefault="00BE4B17" w:rsidP="00BE4B17">
      <w:pPr>
        <w:spacing w:line="360" w:lineRule="auto"/>
        <w:jc w:val="both"/>
        <w:rPr>
          <w:rFonts w:ascii="Verdana" w:hAnsi="Verdana"/>
        </w:rPr>
      </w:pPr>
      <w:r w:rsidRPr="00BE4B17">
        <w:rPr>
          <w:rFonts w:ascii="Verdana" w:hAnsi="Verdana"/>
        </w:rPr>
        <w:lastRenderedPageBreak/>
        <w:t>Da Carta de arrematação: A carta de arrematação será expedida pelo MM. Juiz nos termos dos art. 901 e 903 do código de processo civil.</w:t>
      </w:r>
    </w:p>
    <w:p w14:paraId="3E6B9288" w14:textId="77777777" w:rsidR="003E7A5B" w:rsidRPr="00F91F2E" w:rsidRDefault="003E7A5B" w:rsidP="00F91F2E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 xml:space="preserve">Dúvidas e Esclarecimentos: pessoalmente perante o </w:t>
      </w:r>
      <w:r w:rsidR="00D533AF">
        <w:rPr>
          <w:rFonts w:ascii="Verdana" w:hAnsi="Verdana"/>
        </w:rPr>
        <w:t>2</w:t>
      </w:r>
      <w:r w:rsidR="004F3CCD" w:rsidRPr="00F91F2E">
        <w:rPr>
          <w:rFonts w:ascii="Verdana" w:hAnsi="Verdana"/>
        </w:rPr>
        <w:t>º</w:t>
      </w:r>
      <w:r w:rsidRPr="00F91F2E">
        <w:rPr>
          <w:rFonts w:ascii="Verdana" w:hAnsi="Verdana"/>
        </w:rPr>
        <w:t xml:space="preserve"> Ofício Cível, ou no escritório do Leiloeiro Oficial, Avenida </w:t>
      </w:r>
      <w:r w:rsidR="00B324D2">
        <w:rPr>
          <w:rFonts w:ascii="Verdana" w:hAnsi="Verdana"/>
        </w:rPr>
        <w:t>Marques de São Vicente</w:t>
      </w:r>
      <w:r w:rsidR="00D533AF">
        <w:rPr>
          <w:rFonts w:ascii="Verdana" w:hAnsi="Verdana"/>
        </w:rPr>
        <w:t xml:space="preserve"> nº</w:t>
      </w:r>
      <w:r w:rsidR="00B324D2">
        <w:rPr>
          <w:rFonts w:ascii="Verdana" w:hAnsi="Verdana"/>
        </w:rPr>
        <w:t xml:space="preserve"> 230</w:t>
      </w:r>
      <w:r w:rsidRPr="00F91F2E">
        <w:rPr>
          <w:rFonts w:ascii="Verdana" w:hAnsi="Verdana"/>
        </w:rPr>
        <w:t>, Capital</w:t>
      </w:r>
      <w:r w:rsidR="00D533AF">
        <w:rPr>
          <w:rFonts w:ascii="Verdana" w:hAnsi="Verdana"/>
        </w:rPr>
        <w:t xml:space="preserve"> – SP</w:t>
      </w:r>
      <w:r w:rsidRPr="00F91F2E">
        <w:rPr>
          <w:rFonts w:ascii="Verdana" w:hAnsi="Verdana"/>
        </w:rPr>
        <w:t xml:space="preserve">, ou ainda, pelo telefone </w:t>
      </w:r>
      <w:r w:rsidR="00D533AF">
        <w:rPr>
          <w:rFonts w:ascii="Verdana" w:hAnsi="Verdana"/>
        </w:rPr>
        <w:t>(</w:t>
      </w:r>
      <w:r w:rsidR="004F3CCD" w:rsidRPr="00F91F2E">
        <w:rPr>
          <w:rFonts w:ascii="Verdana" w:hAnsi="Verdana"/>
        </w:rPr>
        <w:t>11</w:t>
      </w:r>
      <w:r w:rsidR="00D533AF">
        <w:rPr>
          <w:rFonts w:ascii="Verdana" w:hAnsi="Verdana"/>
        </w:rPr>
        <w:t>)</w:t>
      </w:r>
      <w:r w:rsidR="004F3CCD" w:rsidRPr="00F91F2E">
        <w:rPr>
          <w:rFonts w:ascii="Verdana" w:hAnsi="Verdana"/>
        </w:rPr>
        <w:t xml:space="preserve"> </w:t>
      </w:r>
      <w:r w:rsidRPr="00F91F2E">
        <w:rPr>
          <w:rFonts w:ascii="Verdana" w:hAnsi="Verdana"/>
        </w:rPr>
        <w:t xml:space="preserve">3965-0000 / WhatsApp </w:t>
      </w:r>
      <w:r w:rsidR="00D533AF">
        <w:rPr>
          <w:rFonts w:ascii="Verdana" w:hAnsi="Verdana"/>
        </w:rPr>
        <w:t>(</w:t>
      </w:r>
      <w:r w:rsidR="004F3CCD" w:rsidRPr="00F91F2E">
        <w:rPr>
          <w:rFonts w:ascii="Verdana" w:hAnsi="Verdana"/>
        </w:rPr>
        <w:t>11</w:t>
      </w:r>
      <w:r w:rsidR="00D533AF">
        <w:rPr>
          <w:rFonts w:ascii="Verdana" w:hAnsi="Verdana"/>
        </w:rPr>
        <w:t>)</w:t>
      </w:r>
      <w:r w:rsidRPr="00F91F2E">
        <w:rPr>
          <w:rFonts w:ascii="Verdana" w:hAnsi="Verdana"/>
        </w:rPr>
        <w:t xml:space="preserve"> 95662-5151, e e-mail: </w:t>
      </w:r>
      <w:hyperlink r:id="rId6" w:history="1">
        <w:r w:rsidRPr="00B324D2">
          <w:rPr>
            <w:rStyle w:val="Hyperlink"/>
            <w:rFonts w:ascii="Verdana" w:hAnsi="Verdana"/>
            <w:color w:val="0000FF"/>
          </w:rPr>
          <w:t>atendimento@leilaobrasil.com.br</w:t>
        </w:r>
      </w:hyperlink>
      <w:r w:rsidRPr="00F91F2E">
        <w:rPr>
          <w:rFonts w:ascii="Verdana" w:hAnsi="Verdana"/>
        </w:rPr>
        <w:t>.</w:t>
      </w:r>
    </w:p>
    <w:p w14:paraId="3FE1380F" w14:textId="4A26CD27" w:rsidR="003E7A5B" w:rsidRPr="00F91F2E" w:rsidRDefault="003E7A5B" w:rsidP="00F91F2E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>Ficam os executados, bem como eventuais interessados, INTIMADOS das designações supra, caso não sejam localizados para as intimações pessoais, será o edital “por extrato”, afixado e publicado na forma da lei, Provimento CGJ n° 32/2018, art. 428.1.2, e art. 887, §</w:t>
      </w:r>
      <w:r w:rsidR="004F3CCD" w:rsidRPr="00F91F2E">
        <w:rPr>
          <w:rFonts w:ascii="Verdana" w:hAnsi="Verdana"/>
        </w:rPr>
        <w:t xml:space="preserve"> </w:t>
      </w:r>
      <w:r w:rsidRPr="00F91F2E">
        <w:rPr>
          <w:rFonts w:ascii="Verdana" w:hAnsi="Verdana"/>
        </w:rPr>
        <w:t xml:space="preserve">2° do CPC. </w:t>
      </w:r>
      <w:r w:rsidR="00D533AF">
        <w:rPr>
          <w:rFonts w:ascii="Verdana" w:hAnsi="Verdana"/>
        </w:rPr>
        <w:t>Barbacena</w:t>
      </w:r>
      <w:r w:rsidR="006306E9" w:rsidRPr="00F91F2E">
        <w:rPr>
          <w:rFonts w:ascii="Verdana" w:hAnsi="Verdana"/>
        </w:rPr>
        <w:t xml:space="preserve">, </w:t>
      </w:r>
      <w:r w:rsidR="00D533AF">
        <w:rPr>
          <w:rFonts w:ascii="Verdana" w:hAnsi="Verdana"/>
        </w:rPr>
        <w:t>27</w:t>
      </w:r>
      <w:r w:rsidR="00847665">
        <w:rPr>
          <w:rFonts w:ascii="Verdana" w:hAnsi="Verdana"/>
        </w:rPr>
        <w:t>/07/2026</w:t>
      </w:r>
    </w:p>
    <w:p w14:paraId="3E306A52" w14:textId="77777777" w:rsidR="00890A30" w:rsidRPr="00F91F2E" w:rsidRDefault="00890A30" w:rsidP="00F91F2E">
      <w:pPr>
        <w:spacing w:line="360" w:lineRule="auto"/>
        <w:jc w:val="both"/>
        <w:rPr>
          <w:rFonts w:ascii="Verdana" w:hAnsi="Verdana"/>
        </w:rPr>
      </w:pPr>
    </w:p>
    <w:sectPr w:rsidR="00890A30" w:rsidRPr="00F91F2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A28"/>
    <w:rsid w:val="00002319"/>
    <w:rsid w:val="000618B5"/>
    <w:rsid w:val="000D4A08"/>
    <w:rsid w:val="000F38E3"/>
    <w:rsid w:val="001A7869"/>
    <w:rsid w:val="001E5EAB"/>
    <w:rsid w:val="002C6D5C"/>
    <w:rsid w:val="00303674"/>
    <w:rsid w:val="0034212F"/>
    <w:rsid w:val="0039325E"/>
    <w:rsid w:val="003E7A5B"/>
    <w:rsid w:val="00407590"/>
    <w:rsid w:val="004111DF"/>
    <w:rsid w:val="00444661"/>
    <w:rsid w:val="00464864"/>
    <w:rsid w:val="00471BC4"/>
    <w:rsid w:val="00494AEA"/>
    <w:rsid w:val="004A42F0"/>
    <w:rsid w:val="004D1854"/>
    <w:rsid w:val="004E57D0"/>
    <w:rsid w:val="004F3CCD"/>
    <w:rsid w:val="00535E93"/>
    <w:rsid w:val="00546D7D"/>
    <w:rsid w:val="0059043D"/>
    <w:rsid w:val="005F5A28"/>
    <w:rsid w:val="00601A67"/>
    <w:rsid w:val="006030D2"/>
    <w:rsid w:val="006306E9"/>
    <w:rsid w:val="006538C2"/>
    <w:rsid w:val="006878A8"/>
    <w:rsid w:val="006C4B52"/>
    <w:rsid w:val="006F3071"/>
    <w:rsid w:val="007864ED"/>
    <w:rsid w:val="007C1943"/>
    <w:rsid w:val="007F6160"/>
    <w:rsid w:val="00835AD5"/>
    <w:rsid w:val="00847665"/>
    <w:rsid w:val="0086042E"/>
    <w:rsid w:val="00890A30"/>
    <w:rsid w:val="00896481"/>
    <w:rsid w:val="008C58AF"/>
    <w:rsid w:val="00954FF0"/>
    <w:rsid w:val="009971CB"/>
    <w:rsid w:val="009D0D09"/>
    <w:rsid w:val="00A267F9"/>
    <w:rsid w:val="00A34BE7"/>
    <w:rsid w:val="00A77173"/>
    <w:rsid w:val="00AE5ED6"/>
    <w:rsid w:val="00B324D2"/>
    <w:rsid w:val="00BA2701"/>
    <w:rsid w:val="00BE32DC"/>
    <w:rsid w:val="00BE4B17"/>
    <w:rsid w:val="00C07B45"/>
    <w:rsid w:val="00C108FC"/>
    <w:rsid w:val="00C2127B"/>
    <w:rsid w:val="00C7621C"/>
    <w:rsid w:val="00CB5A61"/>
    <w:rsid w:val="00CE29ED"/>
    <w:rsid w:val="00D317F7"/>
    <w:rsid w:val="00D533AF"/>
    <w:rsid w:val="00D8471D"/>
    <w:rsid w:val="00E0627C"/>
    <w:rsid w:val="00E63E5C"/>
    <w:rsid w:val="00E824B6"/>
    <w:rsid w:val="00E93D3A"/>
    <w:rsid w:val="00EE18DA"/>
    <w:rsid w:val="00F65EDC"/>
    <w:rsid w:val="00F86A02"/>
    <w:rsid w:val="00F91F2E"/>
    <w:rsid w:val="00FE1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754CC"/>
  <w15:chartTrackingRefBased/>
  <w15:docId w15:val="{A5ABCB67-15E8-4B90-9761-4C37DF8B4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3E7A5B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E7A5B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E7A5B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E7A5B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E7A5B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E7A5B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E7A5B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E7A5B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E7A5B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sid w:val="003E7A5B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tulo2Char">
    <w:name w:val="Título 2 Char"/>
    <w:link w:val="Ttulo2"/>
    <w:uiPriority w:val="9"/>
    <w:semiHidden/>
    <w:rsid w:val="003E7A5B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3E7A5B"/>
    <w:rPr>
      <w:rFonts w:eastAsia="Times New Roman" w:cs="Times New Roman"/>
      <w:color w:val="0F4761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3E7A5B"/>
    <w:rPr>
      <w:rFonts w:eastAsia="Times New Roman" w:cs="Times New Roman"/>
      <w:i/>
      <w:iCs/>
      <w:color w:val="0F4761"/>
    </w:rPr>
  </w:style>
  <w:style w:type="character" w:customStyle="1" w:styleId="Ttulo5Char">
    <w:name w:val="Título 5 Char"/>
    <w:link w:val="Ttulo5"/>
    <w:uiPriority w:val="9"/>
    <w:semiHidden/>
    <w:rsid w:val="003E7A5B"/>
    <w:rPr>
      <w:rFonts w:eastAsia="Times New Roman" w:cs="Times New Roman"/>
      <w:color w:val="0F4761"/>
    </w:rPr>
  </w:style>
  <w:style w:type="character" w:customStyle="1" w:styleId="Ttulo6Char">
    <w:name w:val="Título 6 Char"/>
    <w:link w:val="Ttulo6"/>
    <w:uiPriority w:val="9"/>
    <w:semiHidden/>
    <w:rsid w:val="003E7A5B"/>
    <w:rPr>
      <w:rFonts w:eastAsia="Times New Roman" w:cs="Times New Roman"/>
      <w:i/>
      <w:iCs/>
      <w:color w:val="595959"/>
    </w:rPr>
  </w:style>
  <w:style w:type="character" w:customStyle="1" w:styleId="Ttulo7Char">
    <w:name w:val="Título 7 Char"/>
    <w:link w:val="Ttulo7"/>
    <w:uiPriority w:val="9"/>
    <w:semiHidden/>
    <w:rsid w:val="003E7A5B"/>
    <w:rPr>
      <w:rFonts w:eastAsia="Times New Roman" w:cs="Times New Roman"/>
      <w:color w:val="595959"/>
    </w:rPr>
  </w:style>
  <w:style w:type="character" w:customStyle="1" w:styleId="Ttulo8Char">
    <w:name w:val="Título 8 Char"/>
    <w:link w:val="Ttulo8"/>
    <w:uiPriority w:val="9"/>
    <w:semiHidden/>
    <w:rsid w:val="003E7A5B"/>
    <w:rPr>
      <w:rFonts w:eastAsia="Times New Roman" w:cs="Times New Roman"/>
      <w:i/>
      <w:iCs/>
      <w:color w:val="272727"/>
    </w:rPr>
  </w:style>
  <w:style w:type="character" w:customStyle="1" w:styleId="Ttulo9Char">
    <w:name w:val="Título 9 Char"/>
    <w:link w:val="Ttulo9"/>
    <w:uiPriority w:val="9"/>
    <w:semiHidden/>
    <w:rsid w:val="003E7A5B"/>
    <w:rPr>
      <w:rFonts w:eastAsia="Times New Roman" w:cs="Times New Roman"/>
      <w:color w:val="272727"/>
    </w:rPr>
  </w:style>
  <w:style w:type="paragraph" w:styleId="Ttulo">
    <w:name w:val="Title"/>
    <w:basedOn w:val="Normal"/>
    <w:next w:val="Normal"/>
    <w:link w:val="TtuloChar"/>
    <w:uiPriority w:val="10"/>
    <w:qFormat/>
    <w:rsid w:val="003E7A5B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tuloChar">
    <w:name w:val="Título Char"/>
    <w:link w:val="Ttulo"/>
    <w:uiPriority w:val="10"/>
    <w:rsid w:val="003E7A5B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E7A5B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tuloChar">
    <w:name w:val="Subtítulo Char"/>
    <w:link w:val="Subttulo"/>
    <w:uiPriority w:val="11"/>
    <w:rsid w:val="003E7A5B"/>
    <w:rPr>
      <w:rFonts w:eastAsia="Times New Roman" w:cs="Times New Roman"/>
      <w:color w:val="595959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E7A5B"/>
    <w:pPr>
      <w:spacing w:before="160"/>
      <w:jc w:val="center"/>
    </w:pPr>
    <w:rPr>
      <w:i/>
      <w:iCs/>
      <w:color w:val="404040"/>
    </w:rPr>
  </w:style>
  <w:style w:type="character" w:customStyle="1" w:styleId="CitaoChar">
    <w:name w:val="Citação Char"/>
    <w:link w:val="Citao"/>
    <w:uiPriority w:val="29"/>
    <w:rsid w:val="003E7A5B"/>
    <w:rPr>
      <w:i/>
      <w:iCs/>
      <w:color w:val="404040"/>
    </w:rPr>
  </w:style>
  <w:style w:type="paragraph" w:styleId="PargrafodaLista">
    <w:name w:val="List Paragraph"/>
    <w:basedOn w:val="Normal"/>
    <w:uiPriority w:val="34"/>
    <w:qFormat/>
    <w:rsid w:val="003E7A5B"/>
    <w:pPr>
      <w:ind w:left="720"/>
      <w:contextualSpacing/>
    </w:pPr>
  </w:style>
  <w:style w:type="character" w:styleId="nfaseIntensa">
    <w:name w:val="Intense Emphasis"/>
    <w:uiPriority w:val="21"/>
    <w:qFormat/>
    <w:rsid w:val="003E7A5B"/>
    <w:rPr>
      <w:i/>
      <w:iCs/>
      <w:color w:val="0F4761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E7A5B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oIntensaChar">
    <w:name w:val="Citação Intensa Char"/>
    <w:link w:val="CitaoIntensa"/>
    <w:uiPriority w:val="30"/>
    <w:rsid w:val="003E7A5B"/>
    <w:rPr>
      <w:i/>
      <w:iCs/>
      <w:color w:val="0F4761"/>
    </w:rPr>
  </w:style>
  <w:style w:type="character" w:styleId="RefernciaIntensa">
    <w:name w:val="Intense Reference"/>
    <w:uiPriority w:val="32"/>
    <w:qFormat/>
    <w:rsid w:val="003E7A5B"/>
    <w:rPr>
      <w:b/>
      <w:bCs/>
      <w:smallCaps/>
      <w:color w:val="0F4761"/>
      <w:spacing w:val="5"/>
    </w:rPr>
  </w:style>
  <w:style w:type="character" w:styleId="Hyperlink">
    <w:name w:val="Hyperlink"/>
    <w:uiPriority w:val="99"/>
    <w:unhideWhenUsed/>
    <w:rsid w:val="003E7A5B"/>
    <w:rPr>
      <w:color w:val="467886"/>
      <w:u w:val="single"/>
    </w:rPr>
  </w:style>
  <w:style w:type="character" w:customStyle="1" w:styleId="MenoPendente1">
    <w:name w:val="Menção Pendente1"/>
    <w:uiPriority w:val="99"/>
    <w:semiHidden/>
    <w:unhideWhenUsed/>
    <w:rsid w:val="003E7A5B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601A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1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tendimento@leilaobrasil.com.br" TargetMode="External"/><Relationship Id="rId5" Type="http://schemas.openxmlformats.org/officeDocument/2006/relationships/hyperlink" Target="http://www.leilaobrasil.com.br" TargetMode="External"/><Relationship Id="rId4" Type="http://schemas.openxmlformats.org/officeDocument/2006/relationships/hyperlink" Target="http://www.leilaobrasil.com.b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ranp\Documents\Modelos%20Personalizados%20do%20Office\Edital%202026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Edital 2026</Template>
  <TotalTime>1</TotalTime>
  <Pages>4</Pages>
  <Words>925</Words>
  <Characters>4997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5911</CharactersWithSpaces>
  <SharedDoc>false</SharedDoc>
  <HLinks>
    <vt:vector size="12" baseType="variant">
      <vt:variant>
        <vt:i4>8192015</vt:i4>
      </vt:variant>
      <vt:variant>
        <vt:i4>3</vt:i4>
      </vt:variant>
      <vt:variant>
        <vt:i4>0</vt:i4>
      </vt:variant>
      <vt:variant>
        <vt:i4>5</vt:i4>
      </vt:variant>
      <vt:variant>
        <vt:lpwstr>mailto:atendimento@leilaobrasil.com.br</vt:lpwstr>
      </vt:variant>
      <vt:variant>
        <vt:lpwstr/>
      </vt:variant>
      <vt:variant>
        <vt:i4>3670071</vt:i4>
      </vt:variant>
      <vt:variant>
        <vt:i4>0</vt:i4>
      </vt:variant>
      <vt:variant>
        <vt:i4>0</vt:i4>
      </vt:variant>
      <vt:variant>
        <vt:i4>5</vt:i4>
      </vt:variant>
      <vt:variant>
        <vt:lpwstr>http://www.leilaobrasil.com.br/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Iran Paulo</dc:creator>
  <cp:keywords/>
  <dc:description/>
  <cp:lastModifiedBy>Leilão Brasil</cp:lastModifiedBy>
  <cp:revision>2</cp:revision>
  <dcterms:created xsi:type="dcterms:W3CDTF">2026-10-07T11:50:00Z</dcterms:created>
  <dcterms:modified xsi:type="dcterms:W3CDTF">2026-10-07T11:50:00Z</dcterms:modified>
</cp:coreProperties>
</file>