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332C7" w14:textId="77777777" w:rsidR="00F16BED" w:rsidRPr="00230763" w:rsidRDefault="00C05949" w:rsidP="00230763">
      <w:pPr>
        <w:spacing w:after="120" w:line="360" w:lineRule="auto"/>
        <w:jc w:val="center"/>
        <w:rPr>
          <w:rFonts w:ascii="Verdana" w:hAnsi="Verdana" w:cs="Arial"/>
          <w:bCs/>
          <w:sz w:val="24"/>
          <w:szCs w:val="24"/>
        </w:rPr>
      </w:pPr>
      <w:r w:rsidRPr="00230763">
        <w:rPr>
          <w:rFonts w:ascii="Verdana" w:hAnsi="Verdana" w:cs="Arial"/>
          <w:bCs/>
          <w:sz w:val="24"/>
          <w:szCs w:val="24"/>
        </w:rPr>
        <w:t xml:space="preserve">4ª Vara Cível do Foro de </w:t>
      </w:r>
      <w:proofErr w:type="spellStart"/>
      <w:r w:rsidRPr="00230763">
        <w:rPr>
          <w:rFonts w:ascii="Verdana" w:hAnsi="Verdana" w:cs="Arial"/>
          <w:bCs/>
          <w:sz w:val="24"/>
          <w:szCs w:val="24"/>
        </w:rPr>
        <w:t>Votuporanga</w:t>
      </w:r>
      <w:proofErr w:type="spellEnd"/>
    </w:p>
    <w:p w14:paraId="30737AA4" w14:textId="77777777" w:rsidR="00D11BD8" w:rsidRPr="00230763" w:rsidRDefault="00D11BD8" w:rsidP="00230763">
      <w:pPr>
        <w:spacing w:after="120" w:line="360" w:lineRule="auto"/>
        <w:jc w:val="center"/>
        <w:rPr>
          <w:rFonts w:ascii="Verdana" w:hAnsi="Verdana" w:cs="Arial"/>
          <w:bCs/>
          <w:sz w:val="24"/>
          <w:szCs w:val="24"/>
        </w:rPr>
      </w:pPr>
    </w:p>
    <w:p w14:paraId="60B70DD8" w14:textId="4C6C8177" w:rsidR="00F16BED" w:rsidRPr="00230763" w:rsidRDefault="00C05949" w:rsidP="00230763">
      <w:pPr>
        <w:spacing w:after="120" w:line="360" w:lineRule="auto"/>
        <w:jc w:val="both"/>
        <w:rPr>
          <w:rFonts w:ascii="Verdana" w:hAnsi="Verdana" w:cs="Arial"/>
          <w:bCs/>
          <w:sz w:val="24"/>
          <w:szCs w:val="24"/>
        </w:rPr>
      </w:pPr>
      <w:r w:rsidRPr="00230763">
        <w:rPr>
          <w:rFonts w:ascii="Verdana" w:hAnsi="Verdana" w:cs="Arial"/>
          <w:bCs/>
          <w:sz w:val="24"/>
          <w:szCs w:val="24"/>
        </w:rPr>
        <w:t>Edital de 1º e 2º leilão</w:t>
      </w:r>
      <w:r w:rsidR="00C163BD" w:rsidRPr="00230763">
        <w:rPr>
          <w:rFonts w:ascii="Verdana" w:hAnsi="Verdana" w:cs="Arial"/>
          <w:bCs/>
          <w:sz w:val="24"/>
          <w:szCs w:val="24"/>
        </w:rPr>
        <w:t xml:space="preserve"> de</w:t>
      </w:r>
      <w:r w:rsidRPr="00230763">
        <w:rPr>
          <w:rFonts w:ascii="Verdana" w:hAnsi="Verdana" w:cs="Arial"/>
          <w:bCs/>
          <w:sz w:val="24"/>
          <w:szCs w:val="24"/>
        </w:rPr>
        <w:t xml:space="preserve"> bem imóvel e para intimação de Thiago Deluca Trindade e Tatiane Maria Espinosa Trindade,</w:t>
      </w:r>
      <w:r w:rsidR="0042314C" w:rsidRPr="00230763">
        <w:rPr>
          <w:rFonts w:ascii="Verdana" w:hAnsi="Verdana" w:cs="Arial"/>
          <w:bCs/>
          <w:sz w:val="24"/>
          <w:szCs w:val="24"/>
        </w:rPr>
        <w:t xml:space="preserve"> Tamires Espinosa dos Santos Neve e Valdeci José das Neves Júnior</w:t>
      </w:r>
      <w:r w:rsidRPr="00230763">
        <w:rPr>
          <w:rFonts w:ascii="Verdana" w:hAnsi="Verdana" w:cs="Arial"/>
          <w:bCs/>
          <w:sz w:val="24"/>
          <w:szCs w:val="24"/>
        </w:rPr>
        <w:t xml:space="preserve"> expedido nos autos do Execução de Título Extrajudicial, que lhe requer Banco Bradesco S.A. Processo nº 1005584-42.2024.8.26.0664</w:t>
      </w:r>
    </w:p>
    <w:p w14:paraId="1DBF434A" w14:textId="77777777" w:rsidR="00C163BD" w:rsidRPr="00230763" w:rsidRDefault="00C05949" w:rsidP="00230763">
      <w:pPr>
        <w:spacing w:after="240" w:line="360" w:lineRule="auto"/>
        <w:jc w:val="both"/>
        <w:rPr>
          <w:rFonts w:ascii="Verdana" w:hAnsi="Verdana" w:cs="Arial"/>
          <w:bCs/>
          <w:sz w:val="24"/>
          <w:szCs w:val="24"/>
        </w:rPr>
      </w:pPr>
      <w:r w:rsidRPr="00230763">
        <w:rPr>
          <w:rFonts w:ascii="Verdana" w:hAnsi="Verdana" w:cs="Arial"/>
          <w:bCs/>
          <w:sz w:val="24"/>
          <w:szCs w:val="24"/>
        </w:rPr>
        <w:t xml:space="preserve">O Dr. Og Cristian Mantuan, Juiz de Direito da 4ª Vara Cível do Foro de Votuporanga, do Estado de São Paulo, na forma da lei, etc... </w:t>
      </w:r>
    </w:p>
    <w:p w14:paraId="3D2905E9" w14:textId="00ABF87A" w:rsidR="00C163BD" w:rsidRPr="00230763" w:rsidRDefault="00C163BD" w:rsidP="00230763">
      <w:pPr>
        <w:spacing w:line="360" w:lineRule="auto"/>
        <w:jc w:val="both"/>
        <w:rPr>
          <w:rFonts w:ascii="Verdana" w:hAnsi="Verdana" w:cs="Arial"/>
          <w:bCs/>
          <w:sz w:val="24"/>
          <w:szCs w:val="24"/>
        </w:rPr>
      </w:pPr>
      <w:r w:rsidRPr="00230763">
        <w:rPr>
          <w:rFonts w:ascii="Verdana" w:hAnsi="Verdana" w:cs="Arial"/>
          <w:bCs/>
          <w:sz w:val="24"/>
          <w:szCs w:val="24"/>
        </w:rPr>
        <w:t>Faz Saber que o Leiloeiro Oficial, Sr. Irani Flores, JUCESP 792, levará a leilão público para venda e arrematação, no local e hora descritos no edital, com transmissão pela internet e disponibilização imediata na plataforma de leilões eletrônicos, </w:t>
      </w:r>
      <w:hyperlink r:id="rId6" w:history="1">
        <w:r w:rsidRPr="00230763">
          <w:rPr>
            <w:rStyle w:val="Hyperlink"/>
            <w:rFonts w:ascii="Verdana" w:hAnsi="Verdana" w:cs="Arial"/>
            <w:bCs/>
            <w:sz w:val="24"/>
            <w:szCs w:val="24"/>
          </w:rPr>
          <w:t>www.leilaobrasil.com.br</w:t>
        </w:r>
      </w:hyperlink>
      <w:r w:rsidRPr="00230763">
        <w:rPr>
          <w:rFonts w:ascii="Verdana" w:hAnsi="Verdana" w:cs="Arial"/>
          <w:bCs/>
          <w:sz w:val="24"/>
          <w:szCs w:val="24"/>
        </w:rPr>
        <w:t>.</w:t>
      </w:r>
    </w:p>
    <w:p w14:paraId="57CD4DC2" w14:textId="3C955100" w:rsidR="00230763" w:rsidRPr="00230763" w:rsidRDefault="00C163BD" w:rsidP="00230763">
      <w:pPr>
        <w:spacing w:line="360" w:lineRule="auto"/>
        <w:jc w:val="both"/>
        <w:rPr>
          <w:rFonts w:ascii="Verdana" w:hAnsi="Verdana" w:cs="Arial"/>
          <w:bCs/>
          <w:sz w:val="24"/>
          <w:szCs w:val="24"/>
        </w:rPr>
      </w:pPr>
      <w:r w:rsidRPr="00230763">
        <w:rPr>
          <w:rFonts w:ascii="Verdana" w:hAnsi="Verdana" w:cs="Arial"/>
          <w:bCs/>
          <w:sz w:val="24"/>
          <w:szCs w:val="24"/>
        </w:rPr>
        <w:t xml:space="preserve">Do início e encerramento do Leilão: Início do 1° leilão em </w:t>
      </w:r>
      <w:r w:rsidR="00230763" w:rsidRPr="00230763">
        <w:rPr>
          <w:rFonts w:ascii="Verdana" w:hAnsi="Verdana" w:cs="Arial"/>
          <w:bCs/>
          <w:sz w:val="24"/>
          <w:szCs w:val="24"/>
        </w:rPr>
        <w:t>21/08</w:t>
      </w:r>
      <w:r w:rsidRPr="00230763">
        <w:rPr>
          <w:rFonts w:ascii="Verdana" w:hAnsi="Verdana" w:cs="Arial"/>
          <w:bCs/>
          <w:sz w:val="24"/>
          <w:szCs w:val="24"/>
        </w:rPr>
        <w:t>/2026 às </w:t>
      </w:r>
      <w:r w:rsidR="00230763" w:rsidRPr="00230763">
        <w:rPr>
          <w:rFonts w:ascii="Verdana" w:hAnsi="Verdana" w:cs="Arial"/>
          <w:bCs/>
          <w:sz w:val="24"/>
          <w:szCs w:val="24"/>
        </w:rPr>
        <w:t>10:40</w:t>
      </w:r>
      <w:r w:rsidRPr="00230763">
        <w:rPr>
          <w:rFonts w:ascii="Verdana" w:hAnsi="Verdana" w:cs="Arial"/>
          <w:bCs/>
          <w:sz w:val="24"/>
          <w:szCs w:val="24"/>
        </w:rPr>
        <w:t xml:space="preserve"> horas e encerramento do 1° leilão em </w:t>
      </w:r>
      <w:r w:rsidR="00230763" w:rsidRPr="00230763">
        <w:rPr>
          <w:rFonts w:ascii="Verdana" w:hAnsi="Verdana" w:cs="Arial"/>
          <w:bCs/>
          <w:sz w:val="24"/>
          <w:szCs w:val="24"/>
        </w:rPr>
        <w:t>24/08/2026</w:t>
      </w:r>
      <w:r w:rsidRPr="00230763">
        <w:rPr>
          <w:rFonts w:ascii="Verdana" w:hAnsi="Verdana" w:cs="Arial"/>
          <w:bCs/>
          <w:sz w:val="24"/>
          <w:szCs w:val="24"/>
        </w:rPr>
        <w:t>/2026 às </w:t>
      </w:r>
      <w:r w:rsidR="00230763" w:rsidRPr="00230763">
        <w:rPr>
          <w:rFonts w:ascii="Verdana" w:hAnsi="Verdana" w:cs="Arial"/>
          <w:bCs/>
          <w:sz w:val="24"/>
          <w:szCs w:val="24"/>
        </w:rPr>
        <w:t>10:40</w:t>
      </w:r>
      <w:r w:rsidRPr="00230763">
        <w:rPr>
          <w:rFonts w:ascii="Verdana" w:hAnsi="Verdana" w:cs="Arial"/>
          <w:bCs/>
          <w:sz w:val="24"/>
          <w:szCs w:val="24"/>
        </w:rPr>
        <w:t xml:space="preserve"> horas, em não havendo lance igual ou superior ao valor da avaliação atualizada para a data supra, seguir-se-á sem interrupção o 2° leilão que se encerrará em </w:t>
      </w:r>
      <w:r w:rsidR="00230763" w:rsidRPr="00230763">
        <w:rPr>
          <w:rFonts w:ascii="Verdana" w:hAnsi="Verdana" w:cs="Arial"/>
          <w:bCs/>
          <w:sz w:val="24"/>
          <w:szCs w:val="24"/>
        </w:rPr>
        <w:t>18/09</w:t>
      </w:r>
      <w:r w:rsidRPr="00230763">
        <w:rPr>
          <w:rFonts w:ascii="Verdana" w:hAnsi="Verdana" w:cs="Arial"/>
          <w:bCs/>
          <w:sz w:val="24"/>
          <w:szCs w:val="24"/>
        </w:rPr>
        <w:t>/2026 às </w:t>
      </w:r>
      <w:r w:rsidR="00230763" w:rsidRPr="00230763">
        <w:rPr>
          <w:rFonts w:ascii="Verdana" w:hAnsi="Verdana" w:cs="Arial"/>
          <w:bCs/>
          <w:sz w:val="24"/>
          <w:szCs w:val="24"/>
        </w:rPr>
        <w:t>10:40,</w:t>
      </w:r>
      <w:r w:rsidRPr="00230763">
        <w:rPr>
          <w:rFonts w:ascii="Verdana" w:hAnsi="Verdana" w:cs="Arial"/>
          <w:bCs/>
          <w:sz w:val="24"/>
          <w:szCs w:val="24"/>
        </w:rPr>
        <w:t xml:space="preserve"> não sendo aceito lances inferiores a 60% do valor da avaliação atualizada pelos índices do TJSP para a data da abertura do leilão, que deverá ser efetuado diretamente na plataforma através da internet.</w:t>
      </w:r>
      <w:r w:rsidR="00230763" w:rsidRPr="00230763">
        <w:rPr>
          <w:rFonts w:ascii="Verdana" w:hAnsi="Verdana" w:cs="Arial"/>
          <w:bCs/>
          <w:sz w:val="24"/>
          <w:szCs w:val="24"/>
        </w:rPr>
        <w:t xml:space="preserve"> </w:t>
      </w:r>
    </w:p>
    <w:p w14:paraId="3FF86C2B" w14:textId="63977ED6" w:rsidR="006826D3" w:rsidRPr="00230763" w:rsidRDefault="00C163BD" w:rsidP="00230763">
      <w:pPr>
        <w:spacing w:line="360" w:lineRule="auto"/>
        <w:jc w:val="both"/>
        <w:rPr>
          <w:rFonts w:ascii="Verdana" w:hAnsi="Verdana" w:cs="Arial"/>
          <w:bCs/>
          <w:sz w:val="24"/>
          <w:szCs w:val="24"/>
        </w:rPr>
      </w:pPr>
      <w:r w:rsidRPr="00230763">
        <w:rPr>
          <w:rFonts w:ascii="Verdana" w:hAnsi="Verdana" w:cs="Arial"/>
          <w:bCs/>
          <w:sz w:val="24"/>
          <w:szCs w:val="24"/>
        </w:rPr>
        <w:t xml:space="preserve">Bem: </w:t>
      </w:r>
      <w:r w:rsidR="00D11BD8" w:rsidRPr="00230763">
        <w:rPr>
          <w:rFonts w:ascii="Verdana" w:hAnsi="Verdana" w:cs="Arial"/>
          <w:bCs/>
          <w:sz w:val="24"/>
          <w:szCs w:val="24"/>
        </w:rPr>
        <w:t xml:space="preserve">Uma gleba rural com a área de 0,57,18 ha de terras, com a denominação de Chácara Santa Cecília, localizada na fazenda Santo Antonio do Viradouro, ou Espreado ou Santo Antonio, no distrito e município de VALENTIM GENTIL, comarca de Votuporanga, e com o seguinte roteiro: "começa no marco cravado na estrada vicinal que liga Valentim Gentil a Floreal, na divisa de Adão Vital Maciel e daí segue confrontando com Adão Vital Maciel, no rumo de </w:t>
      </w:r>
      <w:r w:rsidR="00D11BD8" w:rsidRPr="00230763">
        <w:rPr>
          <w:rFonts w:ascii="Verdana" w:hAnsi="Verdana" w:cs="Arial"/>
          <w:bCs/>
          <w:sz w:val="24"/>
          <w:szCs w:val="24"/>
        </w:rPr>
        <w:lastRenderedPageBreak/>
        <w:t xml:space="preserve">37°50'05" NW, na distancia de 50,56 metros; daí deflete à direita e segue com os seguintes rumos e distancias: 26°08'42" NE = 28,11 metros, confrontando com Lourenço Estrada; 32°23'27" NE = 27,86 metros; 32°23'27" NE = 14,00 metros; 45°00'33" NE = 15,20 metros; 60°53'25" NE = 20,77 metros, confrontando nessas quatro extensões com Jaime Estrada; e 69°06'21" NE = 6,16 metros, confrontando com Maria de Lurdes Ruiz; daí deflete à direita e segue no rumo de 34°57'33" SE, na distancia de 44,00 metros, confrontando com Luiz Pianta Netto, até a margem da estrada vicinal que liga Valentim Gentil a Floreal; deflete à direita e segue confrontando com a referida estrada vicinal, no rumo de 36°15'25" SW, na distancia de 108,21 metros, até o ponto inicial"; roteiro esse elaborado pelo técnico agrimensor Edmir Caporali, CREA.76.160/SP, cujo imóvel acha-se cadastrado no INCRA, em nome de Ronize Aparecida Domingues de Almeida Prado, sob o código nº 950.033.293.768-0, com a área total de 0,5 ha, módulo fiscal: 24,0, nº de módulos fiscais: 0,02, conforme CCIR/2003/04/05. </w:t>
      </w:r>
      <w:r w:rsidR="006826D3" w:rsidRPr="00230763">
        <w:rPr>
          <w:rFonts w:ascii="Verdana" w:hAnsi="Verdana" w:cs="Arial"/>
          <w:bCs/>
          <w:sz w:val="24"/>
          <w:szCs w:val="24"/>
        </w:rPr>
        <w:t>Ônus: const</w:t>
      </w:r>
      <w:r w:rsidR="00D11BD8" w:rsidRPr="00230763">
        <w:rPr>
          <w:rFonts w:ascii="Verdana" w:hAnsi="Verdana" w:cs="Arial"/>
          <w:bCs/>
          <w:sz w:val="24"/>
          <w:szCs w:val="24"/>
        </w:rPr>
        <w:t xml:space="preserve">a </w:t>
      </w:r>
      <w:r w:rsidR="006826D3" w:rsidRPr="00230763">
        <w:rPr>
          <w:rFonts w:ascii="Verdana" w:hAnsi="Verdana" w:cs="Arial"/>
          <w:bCs/>
          <w:sz w:val="24"/>
          <w:szCs w:val="24"/>
        </w:rPr>
        <w:t>na Av.</w:t>
      </w:r>
      <w:r w:rsidR="00D11BD8" w:rsidRPr="00230763">
        <w:rPr>
          <w:rFonts w:ascii="Verdana" w:hAnsi="Verdana" w:cs="Arial"/>
          <w:bCs/>
          <w:sz w:val="24"/>
          <w:szCs w:val="24"/>
        </w:rPr>
        <w:t>7</w:t>
      </w:r>
      <w:r w:rsidR="006826D3" w:rsidRPr="00230763">
        <w:rPr>
          <w:rFonts w:ascii="Verdana" w:hAnsi="Verdana" w:cs="Arial"/>
          <w:bCs/>
          <w:sz w:val="24"/>
          <w:szCs w:val="24"/>
        </w:rPr>
        <w:t xml:space="preserve"> a penhora </w:t>
      </w:r>
      <w:r w:rsidR="00D11BD8" w:rsidRPr="00230763">
        <w:rPr>
          <w:rFonts w:ascii="Verdana" w:hAnsi="Verdana" w:cs="Arial"/>
          <w:bCs/>
          <w:sz w:val="24"/>
          <w:szCs w:val="24"/>
        </w:rPr>
        <w:t>exequenda.</w:t>
      </w:r>
      <w:r w:rsidR="006826D3" w:rsidRPr="00230763">
        <w:rPr>
          <w:rFonts w:ascii="Verdana" w:hAnsi="Verdana" w:cs="Arial"/>
          <w:bCs/>
          <w:sz w:val="24"/>
          <w:szCs w:val="24"/>
        </w:rPr>
        <w:t xml:space="preserve"> </w:t>
      </w:r>
    </w:p>
    <w:p w14:paraId="32314C30" w14:textId="7B5E5FF4" w:rsidR="00C163BD" w:rsidRPr="00230763" w:rsidRDefault="00C163BD" w:rsidP="00230763">
      <w:pPr>
        <w:spacing w:line="360" w:lineRule="auto"/>
        <w:jc w:val="both"/>
        <w:rPr>
          <w:rFonts w:ascii="Verdana" w:hAnsi="Verdana" w:cs="Arial"/>
          <w:bCs/>
          <w:sz w:val="24"/>
          <w:szCs w:val="24"/>
        </w:rPr>
      </w:pPr>
      <w:r w:rsidRPr="00230763">
        <w:rPr>
          <w:rFonts w:ascii="Verdana" w:hAnsi="Verdana" w:cs="Arial"/>
          <w:bCs/>
          <w:sz w:val="24"/>
          <w:szCs w:val="24"/>
        </w:rPr>
        <w:t xml:space="preserve">Matrícula nº </w:t>
      </w:r>
      <w:r w:rsidR="006826D3" w:rsidRPr="00230763">
        <w:rPr>
          <w:rFonts w:ascii="Verdana" w:hAnsi="Verdana" w:cs="Arial"/>
          <w:bCs/>
          <w:sz w:val="24"/>
          <w:szCs w:val="24"/>
        </w:rPr>
        <w:t>39.628</w:t>
      </w:r>
      <w:r w:rsidRPr="00230763">
        <w:rPr>
          <w:rFonts w:ascii="Verdana" w:hAnsi="Verdana" w:cs="Arial"/>
          <w:bCs/>
          <w:sz w:val="24"/>
          <w:szCs w:val="24"/>
        </w:rPr>
        <w:t xml:space="preserve"> do Cartório de Registro de Imóveis da Comarca de </w:t>
      </w:r>
      <w:r w:rsidR="006826D3" w:rsidRPr="00230763">
        <w:rPr>
          <w:rFonts w:ascii="Verdana" w:hAnsi="Verdana" w:cs="Arial"/>
          <w:bCs/>
          <w:sz w:val="24"/>
          <w:szCs w:val="24"/>
        </w:rPr>
        <w:t>Votuporanga/</w:t>
      </w:r>
      <w:r w:rsidRPr="00230763">
        <w:rPr>
          <w:rFonts w:ascii="Verdana" w:hAnsi="Verdana" w:cs="Arial"/>
          <w:bCs/>
          <w:sz w:val="24"/>
          <w:szCs w:val="24"/>
        </w:rPr>
        <w:t xml:space="preserve">SP. </w:t>
      </w:r>
    </w:p>
    <w:p w14:paraId="2844918D" w14:textId="2BD5C31D" w:rsidR="00C163BD" w:rsidRPr="00230763" w:rsidRDefault="00C163BD" w:rsidP="00230763">
      <w:pPr>
        <w:spacing w:line="360" w:lineRule="auto"/>
        <w:jc w:val="both"/>
        <w:rPr>
          <w:rFonts w:ascii="Verdana" w:hAnsi="Verdana" w:cs="Arial"/>
          <w:bCs/>
          <w:sz w:val="24"/>
          <w:szCs w:val="24"/>
        </w:rPr>
      </w:pPr>
      <w:r w:rsidRPr="00230763">
        <w:rPr>
          <w:rFonts w:ascii="Verdana" w:hAnsi="Verdana" w:cs="Arial"/>
          <w:bCs/>
          <w:sz w:val="24"/>
          <w:szCs w:val="24"/>
        </w:rPr>
        <w:t xml:space="preserve">Avaliação R$ </w:t>
      </w:r>
      <w:r w:rsidR="006826D3" w:rsidRPr="00230763">
        <w:rPr>
          <w:rFonts w:ascii="Verdana" w:hAnsi="Verdana" w:cs="Arial"/>
          <w:bCs/>
          <w:sz w:val="24"/>
          <w:szCs w:val="24"/>
        </w:rPr>
        <w:t>134.512,00 (Novembro/2025)</w:t>
      </w:r>
    </w:p>
    <w:p w14:paraId="68705A53" w14:textId="45E9D47F" w:rsidR="00C163BD" w:rsidRPr="00230763" w:rsidRDefault="00C163BD" w:rsidP="00230763">
      <w:pPr>
        <w:spacing w:line="360" w:lineRule="auto"/>
        <w:jc w:val="both"/>
        <w:rPr>
          <w:rFonts w:ascii="Verdana" w:hAnsi="Verdana" w:cs="Arial"/>
          <w:bCs/>
          <w:sz w:val="24"/>
          <w:szCs w:val="24"/>
        </w:rPr>
      </w:pPr>
      <w:r w:rsidRPr="00230763">
        <w:rPr>
          <w:rFonts w:ascii="Verdana" w:hAnsi="Verdana" w:cs="Arial"/>
          <w:bCs/>
          <w:sz w:val="24"/>
          <w:szCs w:val="24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39461D2F" w14:textId="77777777" w:rsidR="00C163BD" w:rsidRPr="00230763" w:rsidRDefault="00C163BD" w:rsidP="00230763">
      <w:pPr>
        <w:spacing w:line="360" w:lineRule="auto"/>
        <w:jc w:val="both"/>
        <w:rPr>
          <w:rFonts w:ascii="Verdana" w:hAnsi="Verdana" w:cs="Arial"/>
          <w:bCs/>
          <w:sz w:val="24"/>
          <w:szCs w:val="24"/>
        </w:rPr>
      </w:pPr>
      <w:r w:rsidRPr="00230763">
        <w:rPr>
          <w:rFonts w:ascii="Verdana" w:hAnsi="Verdana" w:cs="Arial"/>
          <w:bCs/>
          <w:sz w:val="24"/>
          <w:szCs w:val="24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51DA77A7" w14:textId="77777777" w:rsidR="00C163BD" w:rsidRPr="00230763" w:rsidRDefault="00C163BD" w:rsidP="00230763">
      <w:pPr>
        <w:spacing w:line="360" w:lineRule="auto"/>
        <w:jc w:val="both"/>
        <w:rPr>
          <w:rFonts w:ascii="Verdana" w:hAnsi="Verdana" w:cs="Arial"/>
          <w:bCs/>
          <w:sz w:val="24"/>
          <w:szCs w:val="24"/>
        </w:rPr>
      </w:pPr>
      <w:r w:rsidRPr="00230763">
        <w:rPr>
          <w:rFonts w:ascii="Verdana" w:hAnsi="Verdana" w:cs="Arial"/>
          <w:bCs/>
          <w:sz w:val="24"/>
          <w:szCs w:val="24"/>
        </w:rPr>
        <w:lastRenderedPageBreak/>
        <w:t>Da Comissão: A comissão do leiloeiro será de 5% sobre o valor da arrematação, não estando incluída no valor da arrematação e deverá ser depositada nos autos. Em havendo acordo, remição, desistência ou ineficácia da arrematação, será observado o disposto no Artigo 7º da Resolução 236, de 2016 do Conselho Nacional da Justiça. Ainda, se houver composição após a publicação de editais, as partes deverão.  declinar em sua minuta de acordo quem arcará com o percentual acima fixado, sob pena de o (a) (s) executado(a), (s) suportá-lo integralmente.</w:t>
      </w:r>
    </w:p>
    <w:p w14:paraId="70D26162" w14:textId="3689F689" w:rsidR="00C163BD" w:rsidRPr="00230763" w:rsidRDefault="00C163BD" w:rsidP="00230763">
      <w:pPr>
        <w:spacing w:line="360" w:lineRule="auto"/>
        <w:jc w:val="both"/>
        <w:rPr>
          <w:rFonts w:ascii="Verdana" w:hAnsi="Verdana" w:cs="Arial"/>
          <w:bCs/>
          <w:sz w:val="24"/>
          <w:szCs w:val="24"/>
        </w:rPr>
      </w:pPr>
      <w:r w:rsidRPr="00230763">
        <w:rPr>
          <w:rFonts w:ascii="Verdana" w:hAnsi="Verdana" w:cs="Arial"/>
          <w:bCs/>
          <w:sz w:val="24"/>
          <w:szCs w:val="24"/>
        </w:rPr>
        <w:t>Da Adjudicação: Condicionada aos termos do art. 876 e 892, § 1° do código de processo civil.</w:t>
      </w:r>
    </w:p>
    <w:p w14:paraId="51EEEB88" w14:textId="77777777" w:rsidR="00C163BD" w:rsidRPr="00230763" w:rsidRDefault="00C163BD" w:rsidP="00230763">
      <w:pPr>
        <w:spacing w:line="360" w:lineRule="auto"/>
        <w:jc w:val="both"/>
        <w:rPr>
          <w:rFonts w:ascii="Verdana" w:hAnsi="Verdana" w:cs="Arial"/>
          <w:bCs/>
          <w:sz w:val="24"/>
          <w:szCs w:val="24"/>
        </w:rPr>
      </w:pPr>
      <w:r w:rsidRPr="00230763">
        <w:rPr>
          <w:rFonts w:ascii="Verdana" w:hAnsi="Verdana" w:cs="Arial"/>
          <w:bCs/>
          <w:sz w:val="24"/>
          <w:szCs w:val="24"/>
        </w:rPr>
        <w:t>Do pagamento: O arrematante terá o prazo de 24 horas para efetuar o pagamento da arrematação e da comissão.</w:t>
      </w:r>
    </w:p>
    <w:p w14:paraId="55CE8EDB" w14:textId="77777777" w:rsidR="00C163BD" w:rsidRPr="00230763" w:rsidRDefault="00C163BD" w:rsidP="00230763">
      <w:pPr>
        <w:spacing w:line="360" w:lineRule="auto"/>
        <w:jc w:val="both"/>
        <w:rPr>
          <w:rFonts w:ascii="Verdana" w:hAnsi="Verdana" w:cs="Arial"/>
          <w:bCs/>
          <w:sz w:val="24"/>
          <w:szCs w:val="24"/>
        </w:rPr>
      </w:pPr>
      <w:r w:rsidRPr="00230763">
        <w:rPr>
          <w:rFonts w:ascii="Verdana" w:hAnsi="Verdana" w:cs="Arial"/>
          <w:bCs/>
          <w:sz w:val="24"/>
          <w:szCs w:val="24"/>
        </w:rPr>
        <w:t>Do parcelamento da arrematação. O parcelamento da arrematação dar-se-á nos termos da Lei; artigo 895 do código de processo civil, “§ 2º, 7º e 8º todos do mesmo artigo e, artigo 14 e 22 da Resolução 236/2016 do CNJ compreendendo a ampla divulgação e transparência necessárias ao judiciário; ainda na busca do maior valor, menor prazo de pagamento e transparência, poderá o interessado ofertar “Real Time dentro do Auditório Virtual”, valor e quantidade de parcelas diferente para cada lance ofertado, ressaltando que o valor da entrada não poderá ser inferior a 25% do valor do lance ofertado e o prazo não poderá ser  superior a 30 parcelas mensais e consecutivos. Devidamente atualizada pelos índices definidos pelo MM. Juiz.   As guias para pagamento das parcelas mensais deverão ser geradas pelo próprio arrematante diretamente no site do Tribunal; deverá também o interessado atentar para o disposto nos demais parágrafos do artigo 895 quanto a data para pagamento das parcelas, das garantias, da atualização mensal das parcelas vincendas e da decisão exarada pelo MM. Juiz nos autos.</w:t>
      </w:r>
    </w:p>
    <w:p w14:paraId="704B4837" w14:textId="77777777" w:rsidR="00C163BD" w:rsidRPr="00230763" w:rsidRDefault="00C163BD" w:rsidP="00230763">
      <w:pPr>
        <w:spacing w:line="360" w:lineRule="auto"/>
        <w:jc w:val="both"/>
        <w:rPr>
          <w:rFonts w:ascii="Verdana" w:hAnsi="Verdana" w:cs="Arial"/>
          <w:bCs/>
          <w:sz w:val="24"/>
          <w:szCs w:val="24"/>
        </w:rPr>
      </w:pPr>
      <w:r w:rsidRPr="00230763">
        <w:rPr>
          <w:rFonts w:ascii="Verdana" w:hAnsi="Verdana" w:cs="Arial"/>
          <w:bCs/>
          <w:sz w:val="24"/>
          <w:szCs w:val="24"/>
        </w:rPr>
        <w:lastRenderedPageBreak/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131E4BF6" w14:textId="77777777" w:rsidR="00C163BD" w:rsidRPr="00230763" w:rsidRDefault="00C163BD" w:rsidP="00230763">
      <w:pPr>
        <w:spacing w:line="360" w:lineRule="auto"/>
        <w:jc w:val="both"/>
        <w:rPr>
          <w:rFonts w:ascii="Verdana" w:hAnsi="Verdana" w:cs="Arial"/>
          <w:bCs/>
          <w:sz w:val="24"/>
          <w:szCs w:val="24"/>
        </w:rPr>
      </w:pPr>
      <w:r w:rsidRPr="00230763">
        <w:rPr>
          <w:rFonts w:ascii="Verdana" w:hAnsi="Verdana" w:cs="Arial"/>
          <w:bCs/>
          <w:sz w:val="24"/>
          <w:szCs w:val="24"/>
        </w:rPr>
        <w:t>Responsabilidade outras: Correrão por conta exclusiva do arrematante as despesas gerais relativas à desmontagem, transporte e transferência patrimonial dos bens arrematados, art. 24 do Provimento CSM 1625/2009; exceto os que se enquadrem nos art. 130, § único do CTN e art. 908, § 1° do código de processo civil.</w:t>
      </w:r>
    </w:p>
    <w:p w14:paraId="4E47B571" w14:textId="65C3BCE9" w:rsidR="00C163BD" w:rsidRPr="00230763" w:rsidRDefault="00C163BD" w:rsidP="00230763">
      <w:pPr>
        <w:spacing w:line="360" w:lineRule="auto"/>
        <w:jc w:val="both"/>
        <w:rPr>
          <w:rFonts w:ascii="Verdana" w:hAnsi="Verdana" w:cs="Arial"/>
          <w:bCs/>
          <w:sz w:val="24"/>
          <w:szCs w:val="24"/>
        </w:rPr>
      </w:pPr>
      <w:r w:rsidRPr="00230763">
        <w:rPr>
          <w:rFonts w:ascii="Verdana" w:hAnsi="Verdana" w:cs="Arial"/>
          <w:bCs/>
          <w:sz w:val="24"/>
          <w:szCs w:val="24"/>
        </w:rPr>
        <w:t>Recursos: Dos autos não consta recursos ou causa pendente de julgamento.</w:t>
      </w:r>
    </w:p>
    <w:p w14:paraId="30088120" w14:textId="77777777" w:rsidR="00C163BD" w:rsidRPr="00230763" w:rsidRDefault="00C163BD" w:rsidP="00230763">
      <w:pPr>
        <w:spacing w:line="360" w:lineRule="auto"/>
        <w:jc w:val="both"/>
        <w:rPr>
          <w:rFonts w:ascii="Verdana" w:hAnsi="Verdana" w:cs="Arial"/>
          <w:bCs/>
          <w:sz w:val="24"/>
          <w:szCs w:val="24"/>
        </w:rPr>
      </w:pPr>
      <w:r w:rsidRPr="00230763">
        <w:rPr>
          <w:rFonts w:ascii="Verdana" w:hAnsi="Verdana" w:cs="Arial"/>
          <w:bCs/>
          <w:sz w:val="24"/>
          <w:szCs w:val="24"/>
        </w:rPr>
        <w:t>Da Carta de arrematação: A carta de arrematação será expedida pelo MM. Juiz nos termos dos art. 901 e 903 do código de processo civil.</w:t>
      </w:r>
    </w:p>
    <w:p w14:paraId="514E70A1" w14:textId="77777777" w:rsidR="00C163BD" w:rsidRPr="00230763" w:rsidRDefault="00C163BD" w:rsidP="00230763">
      <w:pPr>
        <w:spacing w:line="360" w:lineRule="auto"/>
        <w:jc w:val="both"/>
        <w:rPr>
          <w:rFonts w:ascii="Verdana" w:hAnsi="Verdana" w:cs="Arial"/>
          <w:bCs/>
          <w:sz w:val="24"/>
          <w:szCs w:val="24"/>
        </w:rPr>
      </w:pPr>
      <w:r w:rsidRPr="00230763">
        <w:rPr>
          <w:rFonts w:ascii="Verdana" w:hAnsi="Verdana" w:cs="Arial"/>
          <w:bCs/>
          <w:sz w:val="24"/>
          <w:szCs w:val="24"/>
        </w:rPr>
        <w:t>Dúvidas e Esclarecimentos: pessoalmente perante o 3° Ofício Cível, ou no escritório do Leiloeiro Oficial, Sr. Irani Flores, Avenida Paulista n° 2421, 2° andar, SP - Capital, ou ainda, pelo telefone (55 11) 3965-0000 / Whats App (55 11) 95662-5151, e e-mail: </w:t>
      </w:r>
      <w:hyperlink r:id="rId7" w:history="1">
        <w:r w:rsidRPr="00230763">
          <w:rPr>
            <w:rStyle w:val="Hyperlink"/>
            <w:rFonts w:ascii="Verdana" w:hAnsi="Verdana" w:cs="Arial"/>
            <w:bCs/>
            <w:sz w:val="24"/>
            <w:szCs w:val="24"/>
          </w:rPr>
          <w:t>atendimento@leilaobrasil.com.br</w:t>
        </w:r>
      </w:hyperlink>
      <w:r w:rsidRPr="00230763">
        <w:rPr>
          <w:rFonts w:ascii="Verdana" w:hAnsi="Verdana" w:cs="Arial"/>
          <w:bCs/>
          <w:sz w:val="24"/>
          <w:szCs w:val="24"/>
        </w:rPr>
        <w:t>.</w:t>
      </w:r>
    </w:p>
    <w:p w14:paraId="3EC5F01C" w14:textId="5C724C41" w:rsidR="00F16BED" w:rsidRPr="00230763" w:rsidRDefault="00C163BD" w:rsidP="00230763">
      <w:pPr>
        <w:spacing w:after="240" w:line="360" w:lineRule="auto"/>
        <w:jc w:val="both"/>
        <w:rPr>
          <w:rFonts w:ascii="Verdana" w:hAnsi="Verdana" w:cs="Arial"/>
          <w:bCs/>
          <w:sz w:val="24"/>
          <w:szCs w:val="24"/>
        </w:rPr>
      </w:pPr>
      <w:r w:rsidRPr="00230763">
        <w:rPr>
          <w:rFonts w:ascii="Verdana" w:hAnsi="Verdana" w:cs="Arial"/>
          <w:bCs/>
          <w:sz w:val="24"/>
          <w:szCs w:val="24"/>
        </w:rPr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 2° do CPC. Votuporanga, 18/06/2026</w:t>
      </w:r>
    </w:p>
    <w:sectPr w:rsidR="00F16BED" w:rsidRPr="00230763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94444970">
    <w:abstractNumId w:val="8"/>
  </w:num>
  <w:num w:numId="2" w16cid:durableId="1707490398">
    <w:abstractNumId w:val="6"/>
  </w:num>
  <w:num w:numId="3" w16cid:durableId="390731234">
    <w:abstractNumId w:val="5"/>
  </w:num>
  <w:num w:numId="4" w16cid:durableId="650450014">
    <w:abstractNumId w:val="4"/>
  </w:num>
  <w:num w:numId="5" w16cid:durableId="699404342">
    <w:abstractNumId w:val="7"/>
  </w:num>
  <w:num w:numId="6" w16cid:durableId="1635405415">
    <w:abstractNumId w:val="3"/>
  </w:num>
  <w:num w:numId="7" w16cid:durableId="130444222">
    <w:abstractNumId w:val="2"/>
  </w:num>
  <w:num w:numId="8" w16cid:durableId="1587373582">
    <w:abstractNumId w:val="1"/>
  </w:num>
  <w:num w:numId="9" w16cid:durableId="2142458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30763"/>
    <w:rsid w:val="0029639D"/>
    <w:rsid w:val="00326F90"/>
    <w:rsid w:val="003E5B7D"/>
    <w:rsid w:val="0042314C"/>
    <w:rsid w:val="00505A8B"/>
    <w:rsid w:val="006826D3"/>
    <w:rsid w:val="008A3C23"/>
    <w:rsid w:val="00AA1D8D"/>
    <w:rsid w:val="00B47730"/>
    <w:rsid w:val="00C05949"/>
    <w:rsid w:val="00C163BD"/>
    <w:rsid w:val="00CB0664"/>
    <w:rsid w:val="00CD2839"/>
    <w:rsid w:val="00D11BD8"/>
    <w:rsid w:val="00F16BE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1DD0B6"/>
  <w14:defaultImageDpi w14:val="300"/>
  <w15:docId w15:val="{207C4091-A49B-406F-8859-A0029589C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color w:val="000000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uiPriority w:val="99"/>
    <w:unhideWhenUsed/>
    <w:rsid w:val="00C163B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tendimento@leilaobrasil.com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eilaobrasil.com.b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1067</Words>
  <Characters>5768</Characters>
  <Application>Microsoft Office Word</Application>
  <DocSecurity>4</DocSecurity>
  <Lines>48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6822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Leilão Brasil</cp:lastModifiedBy>
  <cp:revision>2</cp:revision>
  <cp:lastPrinted>2026-07-01T13:34:00Z</cp:lastPrinted>
  <dcterms:created xsi:type="dcterms:W3CDTF">2026-07-01T13:34:00Z</dcterms:created>
  <dcterms:modified xsi:type="dcterms:W3CDTF">2026-07-01T13:34:00Z</dcterms:modified>
  <cp:category/>
</cp:coreProperties>
</file>