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BF86" w14:textId="291F5E3A" w:rsidR="00AD19B8" w:rsidRPr="00961907" w:rsidRDefault="00AD19B8" w:rsidP="00961907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4ª Vara Cível do Foro de Diadema</w:t>
      </w:r>
    </w:p>
    <w:p w14:paraId="4D3183EC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CC1E405" w14:textId="11DB9892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 xml:space="preserve">Edital de 1º e 2º leilão bem imóvel e para intimação de Boa Vista Incorporadora Ltda </w:t>
      </w:r>
      <w:r w:rsidR="00030924" w:rsidRPr="00961907">
        <w:rPr>
          <w:rFonts w:ascii="Verdana" w:hAnsi="Verdana"/>
          <w:sz w:val="24"/>
          <w:szCs w:val="24"/>
        </w:rPr>
        <w:t xml:space="preserve">na </w:t>
      </w:r>
      <w:r w:rsidRPr="00961907">
        <w:rPr>
          <w:rFonts w:ascii="Verdana" w:hAnsi="Verdana"/>
          <w:sz w:val="24"/>
          <w:szCs w:val="24"/>
        </w:rPr>
        <w:t xml:space="preserve">pessoa do inventariante Fernando Carvalheiro, expedido nos autos do Execução de Título Extrajudicial, que lhe requer Condomínio Residencial Portal Alto Boa Vista. Processo nº 1000887-66.2023.8.26.0161 </w:t>
      </w:r>
    </w:p>
    <w:p w14:paraId="66B30E43" w14:textId="77777777" w:rsidR="00961907" w:rsidRPr="00961907" w:rsidRDefault="00961907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6EFB3A3" w14:textId="11DE7F39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 xml:space="preserve">A Dra. </w:t>
      </w:r>
      <w:r w:rsidR="00961907" w:rsidRPr="00961907">
        <w:rPr>
          <w:rFonts w:ascii="Verdana" w:hAnsi="Verdana"/>
          <w:sz w:val="24"/>
          <w:szCs w:val="24"/>
        </w:rPr>
        <w:t xml:space="preserve">Erika Diniz, </w:t>
      </w:r>
      <w:r w:rsidRPr="00961907">
        <w:rPr>
          <w:rFonts w:ascii="Verdana" w:hAnsi="Verdana"/>
          <w:sz w:val="24"/>
          <w:szCs w:val="24"/>
        </w:rPr>
        <w:t xml:space="preserve">Juíza de Direito da 4ª Vara Cível do Foro de Diadema, do Estado de São Paulo, na forma da lei, etc... </w:t>
      </w:r>
    </w:p>
    <w:p w14:paraId="14B8ACA2" w14:textId="77777777" w:rsidR="00961907" w:rsidRPr="00961907" w:rsidRDefault="00961907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273AE3A" w14:textId="77777777" w:rsidR="00961907" w:rsidRPr="00961907" w:rsidRDefault="00AD19B8" w:rsidP="00961907">
      <w:pPr>
        <w:spacing w:line="36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pt-BR"/>
          <w14:ligatures w14:val="none"/>
        </w:rPr>
      </w:pPr>
      <w:r w:rsidRPr="00961907">
        <w:rPr>
          <w:rFonts w:ascii="Verdana" w:hAnsi="Verdana"/>
          <w:sz w:val="24"/>
          <w:szCs w:val="24"/>
        </w:rPr>
        <w:t xml:space="preserve">Faz Saber que a Leiloeira Oficial, Sra. Dagmar Conceição de Souza Flores, JUCESP 901, levará a leilão público para venda e arrematação, no local e hora descritos no edital, com transmissão pela internet e disponibilização imediata na plataforma de leilões eletrônicos, </w:t>
      </w:r>
      <w:hyperlink r:id="rId4" w:history="1">
        <w:r w:rsidRPr="00961907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Pr="00961907">
        <w:rPr>
          <w:rFonts w:ascii="Verdana" w:hAnsi="Verdana"/>
          <w:sz w:val="24"/>
          <w:szCs w:val="24"/>
        </w:rPr>
        <w:t xml:space="preserve"> </w:t>
      </w:r>
    </w:p>
    <w:p w14:paraId="2BEACF42" w14:textId="77777777" w:rsidR="00961907" w:rsidRPr="00961907" w:rsidRDefault="00961907" w:rsidP="00961907">
      <w:pPr>
        <w:spacing w:line="36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pt-BR"/>
          <w14:ligatures w14:val="none"/>
        </w:rPr>
      </w:pPr>
    </w:p>
    <w:p w14:paraId="532FB056" w14:textId="0AEFC87B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 xml:space="preserve">Do início e encerramento do Leilão: Início do 1° leilão em </w:t>
      </w:r>
      <w:r w:rsidR="00961907" w:rsidRPr="00961907">
        <w:rPr>
          <w:rFonts w:ascii="Verdana" w:hAnsi="Verdana"/>
          <w:sz w:val="24"/>
          <w:szCs w:val="24"/>
        </w:rPr>
        <w:t>28/08</w:t>
      </w:r>
      <w:r w:rsidRPr="00961907">
        <w:rPr>
          <w:rFonts w:ascii="Verdana" w:hAnsi="Verdana"/>
          <w:sz w:val="24"/>
          <w:szCs w:val="24"/>
        </w:rPr>
        <w:t>/2026 às </w:t>
      </w:r>
      <w:r w:rsidR="00961907" w:rsidRPr="00961907">
        <w:rPr>
          <w:rFonts w:ascii="Verdana" w:hAnsi="Verdana"/>
          <w:sz w:val="24"/>
          <w:szCs w:val="24"/>
        </w:rPr>
        <w:t>10:34</w:t>
      </w:r>
      <w:r w:rsidRPr="00961907">
        <w:rPr>
          <w:rFonts w:ascii="Verdana" w:hAnsi="Verdana"/>
          <w:sz w:val="24"/>
          <w:szCs w:val="24"/>
        </w:rPr>
        <w:t xml:space="preserve"> horas e encerramento do 1° leilão em </w:t>
      </w:r>
      <w:r w:rsidR="00961907" w:rsidRPr="00961907">
        <w:rPr>
          <w:rFonts w:ascii="Verdana" w:hAnsi="Verdana"/>
          <w:sz w:val="24"/>
          <w:szCs w:val="24"/>
        </w:rPr>
        <w:t>31/08</w:t>
      </w:r>
      <w:r w:rsidRPr="00961907">
        <w:rPr>
          <w:rFonts w:ascii="Verdana" w:hAnsi="Verdana"/>
          <w:sz w:val="24"/>
          <w:szCs w:val="24"/>
        </w:rPr>
        <w:t>/2026 às </w:t>
      </w:r>
      <w:r w:rsidR="00961907" w:rsidRPr="00961907">
        <w:rPr>
          <w:rFonts w:ascii="Verdana" w:hAnsi="Verdana"/>
          <w:sz w:val="24"/>
          <w:szCs w:val="24"/>
        </w:rPr>
        <w:t>10:34</w:t>
      </w:r>
      <w:r w:rsidRPr="00961907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2° leilão que se encerrará em </w:t>
      </w:r>
      <w:r w:rsidR="00961907" w:rsidRPr="00961907">
        <w:rPr>
          <w:rFonts w:ascii="Verdana" w:hAnsi="Verdana"/>
          <w:sz w:val="24"/>
          <w:szCs w:val="24"/>
        </w:rPr>
        <w:t>25/09</w:t>
      </w:r>
      <w:r w:rsidRPr="00961907">
        <w:rPr>
          <w:rFonts w:ascii="Verdana" w:hAnsi="Verdana"/>
          <w:sz w:val="24"/>
          <w:szCs w:val="24"/>
        </w:rPr>
        <w:t>/2026 às </w:t>
      </w:r>
      <w:r w:rsidR="00961907" w:rsidRPr="00961907">
        <w:rPr>
          <w:rFonts w:ascii="Verdana" w:hAnsi="Verdana"/>
          <w:sz w:val="24"/>
          <w:szCs w:val="24"/>
        </w:rPr>
        <w:t>10:34</w:t>
      </w:r>
      <w:r w:rsidRPr="00961907">
        <w:rPr>
          <w:rFonts w:ascii="Verdana" w:hAnsi="Verdana"/>
          <w:sz w:val="24"/>
          <w:szCs w:val="24"/>
        </w:rPr>
        <w:t>, não sendo aceito lances inferiores a 50% do valor da avaliação atualizada pelos índices do TJSP para a data da abertura do leilão, que deverá ser efetuado diretamente na plataforma através da internet.</w:t>
      </w:r>
    </w:p>
    <w:p w14:paraId="678CC6EE" w14:textId="61052049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 xml:space="preserve">Bem: </w:t>
      </w:r>
      <w:r w:rsidR="00030924" w:rsidRPr="00961907">
        <w:rPr>
          <w:rFonts w:ascii="Verdana" w:hAnsi="Verdana"/>
          <w:sz w:val="24"/>
          <w:szCs w:val="24"/>
        </w:rPr>
        <w:t xml:space="preserve">APARTAMENTO Nº 484 (quatrocentos e oitenta e quatro), localizado no 8º andar, da Torre 04, do "CONDOMÍNIO RESIDENCIAL PORTAL ALTO DA BOA VISTA", na Avenida Curió, nº 864, Jardim </w:t>
      </w:r>
      <w:r w:rsidR="00030924" w:rsidRPr="00961907">
        <w:rPr>
          <w:rFonts w:ascii="Verdana" w:hAnsi="Verdana"/>
          <w:sz w:val="24"/>
          <w:szCs w:val="24"/>
        </w:rPr>
        <w:lastRenderedPageBreak/>
        <w:t>Campanário, neste distrito, município e comarca, com a área privativa de 57,010m², a área de uso comum de 53,353m² (11,364m² coberta + 41,989m² descoberta), já incluída a área correspondente ao direito de uso de 01 (uma) vaga na garagem coletiva do condomínio e a área total de 110,363m², cabendo-lhe a fração ideal de 0,998474% no terreno do condomínio.</w:t>
      </w:r>
    </w:p>
    <w:p w14:paraId="1EB883B0" w14:textId="7CCC1D50" w:rsidR="00AD19B8" w:rsidRPr="00961907" w:rsidRDefault="00030924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 xml:space="preserve">Ônus: consta na Av. 02 penhora do processo n 0023270-54.2017.8.26.0100. Consta na Av. 03 a penhora exequenda. Contribuinte nº 4405211000, </w:t>
      </w:r>
      <w:r w:rsidR="00AD19B8" w:rsidRPr="00961907">
        <w:rPr>
          <w:rFonts w:ascii="Verdana" w:hAnsi="Verdana"/>
          <w:sz w:val="24"/>
          <w:szCs w:val="24"/>
        </w:rPr>
        <w:t xml:space="preserve">Matrícula nº </w:t>
      </w:r>
      <w:r w:rsidRPr="00961907">
        <w:rPr>
          <w:rFonts w:ascii="Verdana" w:hAnsi="Verdana"/>
          <w:sz w:val="24"/>
          <w:szCs w:val="24"/>
        </w:rPr>
        <w:t>64.848</w:t>
      </w:r>
      <w:r w:rsidR="00AD19B8" w:rsidRPr="00961907">
        <w:rPr>
          <w:rFonts w:ascii="Verdana" w:hAnsi="Verdana"/>
          <w:sz w:val="24"/>
          <w:szCs w:val="24"/>
        </w:rPr>
        <w:t xml:space="preserve"> do Cartório de Registro de Imóveis da Comarca de </w:t>
      </w:r>
      <w:r w:rsidRPr="00961907">
        <w:rPr>
          <w:rFonts w:ascii="Verdana" w:hAnsi="Verdana"/>
          <w:sz w:val="24"/>
          <w:szCs w:val="24"/>
        </w:rPr>
        <w:t>Diadema</w:t>
      </w:r>
      <w:r w:rsidR="00AD19B8" w:rsidRPr="00961907">
        <w:rPr>
          <w:rFonts w:ascii="Verdana" w:hAnsi="Verdana"/>
          <w:sz w:val="24"/>
          <w:szCs w:val="24"/>
        </w:rPr>
        <w:t xml:space="preserve">/SP. </w:t>
      </w:r>
    </w:p>
    <w:p w14:paraId="27A0A7A5" w14:textId="0A615FDE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Avaliação R$ 243.636,00 (Janeiro/2025)</w:t>
      </w:r>
    </w:p>
    <w:p w14:paraId="594C1AF7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14C9C82C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C10F496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Da Comissão: A comissão do leiloeiro será de 5% sobre o valor da arrematação, não estando incluída no valor da arrematação e deverá ser depositada nos autos. Em havendo acordo, remição, desistência ou ineficácia da arrematação, será observado o disposto no Artigo 7º da Resolução 236, de 2016 do Conselho Nacional da Justiça. Ainda, se houver composição após a publicação de editais, as partes deverão.  declinar em sua minuta de acordo quem arcará com o percentual acima fixado, sob pena de o (a) (s) executado(a), (s) suportá-lo integralmente.</w:t>
      </w:r>
    </w:p>
    <w:p w14:paraId="5183E599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lastRenderedPageBreak/>
        <w:t>Da Adjudicação: Condicionada aos termos do art. 876 e 892, § 1° do código de processo civil.</w:t>
      </w:r>
    </w:p>
    <w:p w14:paraId="4C0C06E2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470DFF3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794C2A91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Do parcelamento da arrematação. O parcelamento da arrematação dar-se-á nos termos da Lei; artigo 895 do código de processo civil, “§ 2º, 7º e 8º todos do mesmo artigo e, artigo 14 e 22 da Resolução 236/2016 do CNJ compreendendo a ampla divulgação e transparência necessárias 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25% do valor do lance ofertado e o prazo não poderá ser  superior a 30 parcelas mensais e consecutivos. Devidamente atualizada pelos índices definidos pelo MM. Juiz.  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7A09ECD7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9CFF129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art. 24 do Provimento </w:t>
      </w:r>
      <w:r w:rsidRPr="00961907">
        <w:rPr>
          <w:rFonts w:ascii="Verdana" w:hAnsi="Verdana"/>
          <w:sz w:val="24"/>
          <w:szCs w:val="24"/>
        </w:rPr>
        <w:lastRenderedPageBreak/>
        <w:t>CSM 1625/2009; exceto os que se enquadrem nos art. 130, § único do CTN e art. 908, § 1° do código de processo civil.</w:t>
      </w:r>
    </w:p>
    <w:p w14:paraId="696391E0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BE0325E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2F8FA84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4AF86E6" w14:textId="7777777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4CD70370" w14:textId="3BD29CE8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Dúvidas e Esclarecimentos: pessoalmente perante o 4° Ofício Cível, ou no escritório do Leiloeiro Oficial, Sr. Irani Flores, Avenida Paulista n° 2421, 2° andar, SP - Capital, ou ainda, pelo telefone (55 11) 3965-0000 / Whats App (55 11) 95662-5151, e e-mail: </w:t>
      </w:r>
      <w:hyperlink r:id="rId5" w:history="1">
        <w:r w:rsidRPr="00961907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961907">
        <w:rPr>
          <w:rFonts w:ascii="Verdana" w:hAnsi="Verdana"/>
          <w:sz w:val="24"/>
          <w:szCs w:val="24"/>
        </w:rPr>
        <w:t>.</w:t>
      </w:r>
    </w:p>
    <w:p w14:paraId="6FABD061" w14:textId="24242A07" w:rsidR="00AD19B8" w:rsidRPr="00961907" w:rsidRDefault="00AD19B8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61907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Diadema, 26/06/2026</w:t>
      </w:r>
    </w:p>
    <w:p w14:paraId="3A806FEC" w14:textId="77777777" w:rsidR="00003BB1" w:rsidRPr="00961907" w:rsidRDefault="00003BB1" w:rsidP="0096190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003BB1" w:rsidRPr="00961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B8"/>
    <w:rsid w:val="00003BB1"/>
    <w:rsid w:val="00030924"/>
    <w:rsid w:val="00172B9F"/>
    <w:rsid w:val="00286EF5"/>
    <w:rsid w:val="002961CD"/>
    <w:rsid w:val="00337521"/>
    <w:rsid w:val="003D3EE4"/>
    <w:rsid w:val="00432423"/>
    <w:rsid w:val="005B69B9"/>
    <w:rsid w:val="00815249"/>
    <w:rsid w:val="00830FE5"/>
    <w:rsid w:val="00961907"/>
    <w:rsid w:val="009F3C00"/>
    <w:rsid w:val="00AD19B8"/>
    <w:rsid w:val="00BC72D6"/>
    <w:rsid w:val="00B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9870"/>
  <w15:chartTrackingRefBased/>
  <w15:docId w15:val="{D314DAF7-ABA1-4B0E-BBD3-2561A90C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19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19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19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1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19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19B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19B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1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9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19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9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19B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19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19B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19B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D19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5004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2026-07-02T11:55:00Z</dcterms:created>
  <dcterms:modified xsi:type="dcterms:W3CDTF">2026-07-02T11:55:00Z</dcterms:modified>
</cp:coreProperties>
</file>