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BF22" w14:textId="707F249F" w:rsidR="00A34BE7" w:rsidRPr="00C70141" w:rsidRDefault="00C70141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 xml:space="preserve">                   </w:t>
      </w:r>
      <w:r w:rsidR="003F2E54">
        <w:rPr>
          <w:rFonts w:ascii="Verdana" w:hAnsi="Verdana"/>
        </w:rPr>
        <w:t>3</w:t>
      </w:r>
      <w:r w:rsidRPr="00C70141">
        <w:rPr>
          <w:rFonts w:ascii="Verdana" w:hAnsi="Verdana"/>
        </w:rPr>
        <w:t xml:space="preserve">ª Vara Cível do Foro </w:t>
      </w:r>
      <w:r w:rsidR="003F2E54">
        <w:rPr>
          <w:rFonts w:ascii="Verdana" w:hAnsi="Verdana"/>
        </w:rPr>
        <w:t>de Pindamonhangaba</w:t>
      </w:r>
    </w:p>
    <w:p w14:paraId="095DB8DC" w14:textId="5B56923F" w:rsidR="00C70141" w:rsidRPr="00C70141" w:rsidRDefault="00C70141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 xml:space="preserve"> </w:t>
      </w:r>
    </w:p>
    <w:p w14:paraId="2113BA5B" w14:textId="300250F1" w:rsidR="008F2F3E" w:rsidRPr="00C70141" w:rsidRDefault="003F2E54" w:rsidP="00C70141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Edital de 1° e 2° leilão </w:t>
      </w:r>
      <w:r>
        <w:rPr>
          <w:rFonts w:ascii="Verdana" w:hAnsi="Verdana"/>
        </w:rPr>
        <w:t xml:space="preserve">dos direitos </w:t>
      </w:r>
      <w:r w:rsidR="008F2F3E" w:rsidRPr="00C70141">
        <w:rPr>
          <w:rFonts w:ascii="Verdana" w:hAnsi="Verdana"/>
        </w:rPr>
        <w:t>d</w:t>
      </w:r>
      <w:r>
        <w:rPr>
          <w:rFonts w:ascii="Verdana" w:hAnsi="Verdana"/>
        </w:rPr>
        <w:t>o</w:t>
      </w:r>
      <w:r w:rsidR="008F2F3E" w:rsidRPr="00C70141">
        <w:rPr>
          <w:rFonts w:ascii="Verdana" w:hAnsi="Verdana"/>
        </w:rPr>
        <w:t xml:space="preserve"> bem imóvel e para intimação de </w:t>
      </w:r>
      <w:r w:rsidRPr="003F2E54">
        <w:rPr>
          <w:rFonts w:ascii="Verdana" w:hAnsi="Verdana"/>
        </w:rPr>
        <w:t>Kelli da Silva</w:t>
      </w:r>
      <w:r>
        <w:rPr>
          <w:rFonts w:ascii="Verdana" w:hAnsi="Verdana"/>
        </w:rPr>
        <w:t xml:space="preserve">, bem como </w:t>
      </w:r>
      <w:r w:rsidR="002020B5">
        <w:rPr>
          <w:rFonts w:ascii="Verdana" w:hAnsi="Verdana"/>
        </w:rPr>
        <w:t>d</w:t>
      </w:r>
      <w:r>
        <w:rPr>
          <w:rFonts w:ascii="Verdana" w:hAnsi="Verdana"/>
        </w:rPr>
        <w:t xml:space="preserve">a </w:t>
      </w:r>
      <w:r w:rsidRPr="003F2E54">
        <w:rPr>
          <w:rFonts w:ascii="Verdana" w:hAnsi="Verdana"/>
        </w:rPr>
        <w:t xml:space="preserve">Caixa Econômica Federal </w:t>
      </w:r>
      <w:r w:rsidR="0055012E" w:rsidRPr="00C70141">
        <w:rPr>
          <w:rFonts w:ascii="Verdana" w:hAnsi="Verdana"/>
        </w:rPr>
        <w:t>expedido</w:t>
      </w:r>
      <w:r w:rsidR="008F2F3E" w:rsidRPr="00C70141">
        <w:rPr>
          <w:rFonts w:ascii="Verdana" w:hAnsi="Verdana"/>
        </w:rPr>
        <w:t xml:space="preserve"> nos autos da ação Execução de Título Extrajudicial que lhe requer </w:t>
      </w:r>
      <w:r w:rsidRPr="003F2E54">
        <w:rPr>
          <w:rFonts w:ascii="Verdana" w:hAnsi="Verdana"/>
        </w:rPr>
        <w:t>Condomínio Morumbi</w:t>
      </w:r>
      <w:r w:rsidR="00286859" w:rsidRPr="00286859">
        <w:rPr>
          <w:rFonts w:ascii="Verdana" w:hAnsi="Verdana"/>
        </w:rPr>
        <w:t xml:space="preserve"> </w:t>
      </w:r>
      <w:r w:rsidR="008F2F3E" w:rsidRPr="00C70141">
        <w:rPr>
          <w:rFonts w:ascii="Verdana" w:hAnsi="Verdana"/>
        </w:rPr>
        <w:t xml:space="preserve">Processo n° </w:t>
      </w:r>
      <w:r w:rsidRPr="003F2E54">
        <w:rPr>
          <w:rFonts w:ascii="Verdana" w:hAnsi="Verdana"/>
        </w:rPr>
        <w:t>1000385-90.2019.8.26.0445</w:t>
      </w:r>
    </w:p>
    <w:p w14:paraId="625A097E" w14:textId="77777777" w:rsidR="00546D7D" w:rsidRPr="00C70141" w:rsidRDefault="00546D7D" w:rsidP="00C70141">
      <w:pPr>
        <w:spacing w:line="360" w:lineRule="auto"/>
        <w:jc w:val="both"/>
        <w:rPr>
          <w:rFonts w:ascii="Verdana" w:hAnsi="Verdana"/>
        </w:rPr>
      </w:pPr>
    </w:p>
    <w:p w14:paraId="332B1777" w14:textId="726BD292" w:rsidR="006306E9" w:rsidRPr="00C70141" w:rsidRDefault="00535E93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O</w:t>
      </w:r>
      <w:r w:rsidR="00954FF0" w:rsidRPr="00C70141">
        <w:rPr>
          <w:rFonts w:ascii="Verdana" w:hAnsi="Verdana"/>
        </w:rPr>
        <w:t xml:space="preserve"> </w:t>
      </w:r>
      <w:r w:rsidR="003E7A5B" w:rsidRPr="00C70141">
        <w:rPr>
          <w:rFonts w:ascii="Verdana" w:hAnsi="Verdana"/>
        </w:rPr>
        <w:t>Dr</w:t>
      </w:r>
      <w:r w:rsidR="00A34BE7" w:rsidRPr="00C70141">
        <w:rPr>
          <w:rFonts w:ascii="Verdana" w:hAnsi="Verdana"/>
        </w:rPr>
        <w:t>.</w:t>
      </w:r>
      <w:r w:rsidR="00C70141" w:rsidRPr="00C70141">
        <w:rPr>
          <w:rFonts w:ascii="Verdana" w:hAnsi="Verdana"/>
        </w:rPr>
        <w:t xml:space="preserve"> </w:t>
      </w:r>
      <w:r w:rsidR="003F2E54" w:rsidRPr="003F2E54">
        <w:rPr>
          <w:rFonts w:ascii="Verdana" w:hAnsi="Verdana"/>
        </w:rPr>
        <w:t>Marcelo Soares Mendes</w:t>
      </w:r>
      <w:r w:rsidR="003E7A5B" w:rsidRPr="00C70141">
        <w:rPr>
          <w:rFonts w:ascii="Verdana" w:hAnsi="Verdana"/>
        </w:rPr>
        <w:t>, Ju</w:t>
      </w:r>
      <w:r w:rsidRPr="00C70141">
        <w:rPr>
          <w:rFonts w:ascii="Verdana" w:hAnsi="Verdana"/>
        </w:rPr>
        <w:t>iz</w:t>
      </w:r>
      <w:r w:rsidR="003E7A5B" w:rsidRPr="00C70141">
        <w:rPr>
          <w:rFonts w:ascii="Verdana" w:hAnsi="Verdana"/>
        </w:rPr>
        <w:t xml:space="preserve"> de Direito da</w:t>
      </w:r>
      <w:bookmarkStart w:id="0" w:name="_Hlk216097965"/>
      <w:r w:rsidR="008F2F3E" w:rsidRPr="00C70141">
        <w:rPr>
          <w:rFonts w:ascii="Verdana" w:hAnsi="Verdana"/>
        </w:rPr>
        <w:t xml:space="preserve"> </w:t>
      </w:r>
      <w:r w:rsidR="003F2E54">
        <w:rPr>
          <w:rFonts w:ascii="Verdana" w:hAnsi="Verdana"/>
        </w:rPr>
        <w:t>3</w:t>
      </w:r>
      <w:r w:rsidR="003F2E54" w:rsidRPr="00C70141">
        <w:rPr>
          <w:rFonts w:ascii="Verdana" w:hAnsi="Verdana"/>
        </w:rPr>
        <w:t xml:space="preserve">ª Vara Cível do Foro </w:t>
      </w:r>
      <w:r w:rsidR="003F2E54">
        <w:rPr>
          <w:rFonts w:ascii="Verdana" w:hAnsi="Verdana"/>
        </w:rPr>
        <w:t>de Pindamonhangaba</w:t>
      </w:r>
      <w:r w:rsidR="00286859" w:rsidRPr="00C70141">
        <w:rPr>
          <w:rFonts w:ascii="Verdana" w:hAnsi="Verdana"/>
        </w:rPr>
        <w:t xml:space="preserve"> </w:t>
      </w:r>
      <w:r w:rsidR="00546D7D" w:rsidRPr="00C70141">
        <w:rPr>
          <w:rFonts w:ascii="Verdana" w:hAnsi="Verdana"/>
        </w:rPr>
        <w:t xml:space="preserve">do </w:t>
      </w:r>
      <w:r w:rsidR="00BE4B17" w:rsidRPr="00C70141">
        <w:rPr>
          <w:rFonts w:ascii="Verdana" w:hAnsi="Verdana"/>
        </w:rPr>
        <w:t>Estado de</w:t>
      </w:r>
      <w:r w:rsidR="00A34BE7" w:rsidRPr="00C70141">
        <w:rPr>
          <w:rFonts w:ascii="Verdana" w:hAnsi="Verdana"/>
        </w:rPr>
        <w:t xml:space="preserve"> </w:t>
      </w:r>
      <w:r w:rsidR="00BA2701" w:rsidRPr="00C70141">
        <w:rPr>
          <w:rFonts w:ascii="Verdana" w:hAnsi="Verdana"/>
        </w:rPr>
        <w:t>São Paulo</w:t>
      </w:r>
      <w:bookmarkEnd w:id="0"/>
      <w:r w:rsidR="00BA2701" w:rsidRPr="00C70141">
        <w:rPr>
          <w:rFonts w:ascii="Verdana" w:hAnsi="Verdana"/>
        </w:rPr>
        <w:t>,</w:t>
      </w:r>
      <w:r w:rsidR="003E7A5B" w:rsidRPr="00C70141">
        <w:rPr>
          <w:rFonts w:ascii="Verdana" w:hAnsi="Verdana"/>
        </w:rPr>
        <w:t xml:space="preserve"> na forma da lei, etc...</w:t>
      </w:r>
    </w:p>
    <w:p w14:paraId="45C140F1" w14:textId="77777777" w:rsidR="00F37048" w:rsidRPr="00C70141" w:rsidRDefault="003E7A5B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 xml:space="preserve">Faz Saber que </w:t>
      </w:r>
      <w:r w:rsidR="008F2F3E" w:rsidRPr="00C70141">
        <w:rPr>
          <w:rFonts w:ascii="Verdana" w:hAnsi="Verdana"/>
        </w:rPr>
        <w:t xml:space="preserve">o Leiloeira Oficial, Sr. </w:t>
      </w:r>
      <w:r w:rsidR="003F2E54">
        <w:rPr>
          <w:rFonts w:ascii="Verdana" w:hAnsi="Verdana"/>
        </w:rPr>
        <w:t>Irani Flores</w:t>
      </w:r>
      <w:r w:rsidR="008F2F3E" w:rsidRPr="00C70141">
        <w:rPr>
          <w:rFonts w:ascii="Verdana" w:hAnsi="Verdana"/>
        </w:rPr>
        <w:t xml:space="preserve">, JUCESP nº </w:t>
      </w:r>
      <w:r w:rsidR="003F2E54">
        <w:rPr>
          <w:rFonts w:ascii="Verdana" w:hAnsi="Verdana"/>
        </w:rPr>
        <w:t>792</w:t>
      </w:r>
      <w:r w:rsidRPr="00C70141">
        <w:rPr>
          <w:rFonts w:ascii="Verdana" w:hAnsi="Verdana"/>
        </w:rPr>
        <w:t xml:space="preserve"> levará a leilão público para venda e arrematação, no local e hora descritos no </w:t>
      </w:r>
      <w:r w:rsidR="0086042E" w:rsidRPr="00C70141">
        <w:rPr>
          <w:rFonts w:ascii="Verdana" w:hAnsi="Verdana"/>
        </w:rPr>
        <w:t>edital</w:t>
      </w:r>
      <w:r w:rsidRPr="00C70141">
        <w:rPr>
          <w:rFonts w:ascii="Verdana" w:hAnsi="Verdana"/>
        </w:rPr>
        <w:t xml:space="preserve"> com transmissão pela internet e disponibilização imediata n</w:t>
      </w:r>
      <w:r w:rsidR="0086042E" w:rsidRPr="00C70141">
        <w:rPr>
          <w:rFonts w:ascii="Verdana" w:hAnsi="Verdana"/>
        </w:rPr>
        <w:t xml:space="preserve">a plataforma </w:t>
      </w:r>
      <w:r w:rsidRPr="00C70141">
        <w:rPr>
          <w:rFonts w:ascii="Verdana" w:hAnsi="Verdana"/>
        </w:rPr>
        <w:t xml:space="preserve">de leilões eletrônicos, </w:t>
      </w:r>
      <w:hyperlink r:id="rId4" w:history="1">
        <w:r w:rsidRPr="00C70141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 w:rsidRPr="00C70141">
        <w:rPr>
          <w:rFonts w:ascii="Verdana" w:hAnsi="Verdana"/>
        </w:rPr>
        <w:t xml:space="preserve"> para lances através da internet.</w:t>
      </w:r>
      <w:r w:rsidR="00F37048">
        <w:rPr>
          <w:rFonts w:ascii="Verdana" w:hAnsi="Verdana"/>
        </w:rPr>
        <w:t xml:space="preserve">  </w:t>
      </w:r>
    </w:p>
    <w:p w14:paraId="17301144" w14:textId="70BAB511" w:rsidR="003E7A5B" w:rsidRPr="00C70141" w:rsidRDefault="003E7A5B" w:rsidP="00C70141">
      <w:pPr>
        <w:spacing w:line="360" w:lineRule="auto"/>
        <w:jc w:val="both"/>
        <w:rPr>
          <w:rFonts w:ascii="Verdana" w:hAnsi="Verdana"/>
        </w:rPr>
      </w:pPr>
    </w:p>
    <w:p w14:paraId="731518FF" w14:textId="2E6C613D" w:rsidR="00F37048" w:rsidRDefault="003E7A5B" w:rsidP="00F37048">
      <w:pPr>
        <w:spacing w:line="360" w:lineRule="auto"/>
        <w:jc w:val="both"/>
        <w:rPr>
          <w:rFonts w:ascii="Verdana" w:hAnsi="Verdana"/>
        </w:rPr>
      </w:pPr>
      <w:r w:rsidRPr="00F37048">
        <w:rPr>
          <w:rFonts w:ascii="Verdana" w:hAnsi="Verdana"/>
        </w:rPr>
        <w:t>Do início e encerramento do Leilão: </w:t>
      </w:r>
      <w:bookmarkStart w:id="1" w:name="_Hlk216097981"/>
      <w:r w:rsidR="00F37048" w:rsidRPr="00F37048">
        <w:rPr>
          <w:rFonts w:ascii="Verdana" w:hAnsi="Verdana"/>
        </w:rPr>
        <w:t>Início do 1° leilão em</w:t>
      </w:r>
      <w:r w:rsidR="00F37048">
        <w:rPr>
          <w:rFonts w:ascii="Verdana" w:hAnsi="Verdana"/>
        </w:rPr>
        <w:t xml:space="preserve"> 02/10/2026</w:t>
      </w:r>
      <w:r w:rsidR="00F37048" w:rsidRPr="00F37048">
        <w:rPr>
          <w:rFonts w:ascii="Verdana" w:hAnsi="Verdana"/>
        </w:rPr>
        <w:t xml:space="preserve"> às</w:t>
      </w:r>
      <w:r w:rsidR="00F37048">
        <w:rPr>
          <w:rFonts w:ascii="Verdana" w:hAnsi="Verdana"/>
        </w:rPr>
        <w:t xml:space="preserve"> 10:54</w:t>
      </w:r>
      <w:r w:rsidR="00F37048" w:rsidRPr="00F37048">
        <w:rPr>
          <w:rFonts w:ascii="Verdana" w:hAnsi="Verdana"/>
        </w:rPr>
        <w:t xml:space="preserve"> horas e encerramento do 1° leilão em</w:t>
      </w:r>
      <w:r w:rsidR="00F37048">
        <w:rPr>
          <w:rFonts w:ascii="Verdana" w:hAnsi="Verdana"/>
        </w:rPr>
        <w:t xml:space="preserve"> 05/10/2026</w:t>
      </w:r>
      <w:r w:rsidR="00F37048" w:rsidRPr="00F91F2E">
        <w:rPr>
          <w:rFonts w:ascii="Verdana" w:hAnsi="Verdana"/>
        </w:rPr>
        <w:t xml:space="preserve"> às </w:t>
      </w:r>
      <w:r w:rsidR="00F37048">
        <w:rPr>
          <w:rFonts w:ascii="Verdana" w:hAnsi="Verdana"/>
        </w:rPr>
        <w:t>10:54</w:t>
      </w:r>
      <w:r w:rsidR="00F37048" w:rsidRPr="00F91F2E">
        <w:rPr>
          <w:rFonts w:ascii="Verdana" w:hAnsi="Verdana"/>
        </w:rPr>
        <w:t xml:space="preserve"> horas, em não havendo lance igual ou superior ao valor da avaliação</w:t>
      </w:r>
      <w:r w:rsidR="00F37048">
        <w:rPr>
          <w:rFonts w:ascii="Verdana" w:hAnsi="Verdana"/>
        </w:rPr>
        <w:t xml:space="preserve"> </w:t>
      </w:r>
      <w:r w:rsidR="00F37048" w:rsidRPr="00F91F2E">
        <w:rPr>
          <w:rFonts w:ascii="Verdana" w:hAnsi="Verdana"/>
        </w:rPr>
        <w:t>para a data supra, seguir-se-á sem interrupção o 2° leilão que se encerrará em</w:t>
      </w:r>
      <w:r w:rsidR="00F37048">
        <w:rPr>
          <w:rFonts w:ascii="Verdana" w:hAnsi="Verdana"/>
        </w:rPr>
        <w:t xml:space="preserve"> 30/10/2026</w:t>
      </w:r>
      <w:r w:rsidR="00F37048" w:rsidRPr="00F91F2E">
        <w:rPr>
          <w:rFonts w:ascii="Verdana" w:hAnsi="Verdana"/>
        </w:rPr>
        <w:t> à</w:t>
      </w:r>
      <w:r w:rsidR="00F37048">
        <w:rPr>
          <w:rFonts w:ascii="Verdana" w:hAnsi="Verdana"/>
        </w:rPr>
        <w:t>s 10:</w:t>
      </w:r>
      <w:r w:rsidR="00F11BA9">
        <w:rPr>
          <w:rFonts w:ascii="Verdana" w:hAnsi="Verdana"/>
        </w:rPr>
        <w:t>5</w:t>
      </w:r>
      <w:r w:rsidR="00F37048">
        <w:rPr>
          <w:rFonts w:ascii="Verdana" w:hAnsi="Verdana"/>
        </w:rPr>
        <w:t>4</w:t>
      </w:r>
      <w:r w:rsidR="00F37048" w:rsidRPr="00F91F2E">
        <w:rPr>
          <w:rFonts w:ascii="Verdana" w:hAnsi="Verdana"/>
        </w:rPr>
        <w:t xml:space="preserve"> horas</w:t>
      </w:r>
      <w:bookmarkEnd w:id="1"/>
      <w:r w:rsidR="00F37048" w:rsidRPr="00F91F2E">
        <w:rPr>
          <w:rFonts w:ascii="Verdana" w:hAnsi="Verdana"/>
        </w:rPr>
        <w:t>, não sendo aceito lances inferiores a</w:t>
      </w:r>
      <w:r w:rsidR="00F37048">
        <w:rPr>
          <w:rFonts w:ascii="Verdana" w:hAnsi="Verdana"/>
        </w:rPr>
        <w:t xml:space="preserve"> 50% </w:t>
      </w:r>
      <w:r w:rsidR="00F37048" w:rsidRPr="00F91F2E">
        <w:rPr>
          <w:rFonts w:ascii="Verdana" w:hAnsi="Verdana"/>
        </w:rPr>
        <w:t xml:space="preserve">do valor </w:t>
      </w:r>
      <w:r w:rsidR="000C0B60" w:rsidRPr="00F91F2E">
        <w:rPr>
          <w:rFonts w:ascii="Verdana" w:hAnsi="Verdana"/>
        </w:rPr>
        <w:t>dá</w:t>
      </w:r>
      <w:r w:rsidR="00F37048">
        <w:rPr>
          <w:rFonts w:ascii="Verdana" w:hAnsi="Verdana"/>
        </w:rPr>
        <w:t xml:space="preserve"> </w:t>
      </w:r>
      <w:r w:rsidR="002020B5">
        <w:rPr>
          <w:rFonts w:ascii="Verdana" w:hAnsi="Verdana"/>
        </w:rPr>
        <w:t xml:space="preserve">avaliação, </w:t>
      </w:r>
      <w:r w:rsidR="00F37048" w:rsidRPr="00F91F2E">
        <w:rPr>
          <w:rFonts w:ascii="Verdana" w:hAnsi="Verdana"/>
        </w:rPr>
        <w:t>que deverá ser ofertado diretamente na plataforma através da internet.</w:t>
      </w:r>
    </w:p>
    <w:p w14:paraId="4DD2C108" w14:textId="77777777" w:rsidR="00F37048" w:rsidRPr="00F91F2E" w:rsidRDefault="00F37048" w:rsidP="00F37048">
      <w:pPr>
        <w:spacing w:line="360" w:lineRule="auto"/>
        <w:jc w:val="both"/>
        <w:rPr>
          <w:rFonts w:ascii="Verdana" w:hAnsi="Verdana"/>
        </w:rPr>
      </w:pPr>
    </w:p>
    <w:p w14:paraId="0CC996A2" w14:textId="00C7DCC7" w:rsidR="00E86B2E" w:rsidRPr="00450413" w:rsidRDefault="00094C14" w:rsidP="00E86B2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Bem</w:t>
      </w:r>
      <w:r w:rsidRPr="00C41CB5">
        <w:rPr>
          <w:rFonts w:ascii="Verdana" w:hAnsi="Verdana"/>
        </w:rPr>
        <w:t>:</w:t>
      </w:r>
      <w:r w:rsidR="00B86D7D" w:rsidRPr="00C41CB5">
        <w:rPr>
          <w:rFonts w:ascii="Verdana" w:hAnsi="Verdana"/>
        </w:rPr>
        <w:t xml:space="preserve"> </w:t>
      </w:r>
      <w:r w:rsidR="00E86B2E">
        <w:rPr>
          <w:rFonts w:ascii="Verdana" w:hAnsi="Verdana"/>
        </w:rPr>
        <w:t xml:space="preserve">Os </w:t>
      </w:r>
      <w:r w:rsidR="00E86B2E" w:rsidRPr="00E86B2E">
        <w:rPr>
          <w:rFonts w:ascii="Verdana" w:hAnsi="Verdana"/>
        </w:rPr>
        <w:t>direitos aquisitivos da</w:t>
      </w:r>
      <w:r w:rsidR="00E86B2E">
        <w:rPr>
          <w:rFonts w:ascii="Verdana" w:hAnsi="Verdana"/>
        </w:rPr>
        <w:t xml:space="preserve"> </w:t>
      </w:r>
      <w:r w:rsidR="00E86B2E" w:rsidRPr="00E86B2E">
        <w:rPr>
          <w:rFonts w:ascii="Verdana" w:hAnsi="Verdana"/>
        </w:rPr>
        <w:t xml:space="preserve">executada </w:t>
      </w:r>
      <w:r w:rsidR="00E86B2E">
        <w:rPr>
          <w:rFonts w:ascii="Verdana" w:hAnsi="Verdana"/>
        </w:rPr>
        <w:t xml:space="preserve">sob o </w:t>
      </w:r>
      <w:r w:rsidR="00E86B2E" w:rsidRPr="00E86B2E">
        <w:rPr>
          <w:rFonts w:ascii="Verdana" w:hAnsi="Verdana"/>
        </w:rPr>
        <w:t xml:space="preserve">apartamento nº 12 – tipo "2", localizado no primeiro andar do Bloco "12", do "Condomínio Morumbi", em construção, situado nesta cidade, no bairro Água Preta, com frente para a Rua Letícia Bonacini Santos, composto de sala de estar/jantar, dois dormitórios, banheiro, cozinha, área de serviço, e a respectiva vaga de estacionamento nº 111 (descoberta); com área </w:t>
      </w:r>
      <w:r w:rsidR="00E86B2E" w:rsidRPr="00E86B2E">
        <w:rPr>
          <w:rFonts w:ascii="Verdana" w:hAnsi="Verdana"/>
        </w:rPr>
        <w:lastRenderedPageBreak/>
        <w:t>privativa principal de 44,700m²; área privativa acessória (descoberta) de 10,350m²; área comum (coberta) de 7,473m²; e área total (coberta) da unidade de 52,173m², correspondendo à fração ideal de 0,2770% no terreno.</w:t>
      </w:r>
      <w:r w:rsidR="00450413">
        <w:rPr>
          <w:rFonts w:ascii="Verdana" w:hAnsi="Verdana"/>
        </w:rPr>
        <w:t xml:space="preserve"> OBS: </w:t>
      </w:r>
      <w:r w:rsidR="00450413" w:rsidRPr="00450413">
        <w:rPr>
          <w:rFonts w:ascii="Verdana" w:hAnsi="Verdana"/>
        </w:rPr>
        <w:t>Conforme decisão judicial, a avaliação dos direitos aquisitivos penhorados foi fixada com base na integralidade dos valores despendidos pela devedora para a aquisição do imóvel, abrangendo os recursos próprios empregados, o desconto obtido por meio do FGTS e as parcelas do financiamento habitacional efetivamente quitadas. Assim, os direitos aquisitivos foram avaliados em R$ 121.720,05 (cento e vinte e um mil, setecentos e vinte reais e cinco centavos), valor atualizado conforme planilha apresentada às fls. 447/448 e acolhida pelo Juízo.</w:t>
      </w:r>
      <w:r w:rsidR="00AC0BE8" w:rsidRPr="00AC0BE8">
        <w:t xml:space="preserve"> </w:t>
      </w:r>
      <w:r w:rsidR="00AC0BE8" w:rsidRPr="00AC0BE8">
        <w:rPr>
          <w:rFonts w:ascii="Verdana" w:hAnsi="Verdana"/>
        </w:rPr>
        <w:t>O saldo devedor para quitação antecipada, na data da informação prestada pela instituição financeira, correspondia a R$ 80.280,94 (oitenta mil, duzentos e oitenta reais e noventa e quatro centavos).</w:t>
      </w:r>
      <w:r w:rsidR="00F37048">
        <w:rPr>
          <w:rFonts w:ascii="Verdana" w:hAnsi="Verdana"/>
        </w:rPr>
        <w:t xml:space="preserve"> </w:t>
      </w:r>
      <w:r w:rsidR="00E86B2E" w:rsidRPr="00E86B2E">
        <w:rPr>
          <w:rFonts w:ascii="Verdana" w:hAnsi="Verdana"/>
        </w:rPr>
        <w:t>Cadastro NE-12-04-01-001-</w:t>
      </w:r>
      <w:r w:rsidR="002F5AF4">
        <w:rPr>
          <w:rFonts w:ascii="Verdana" w:hAnsi="Verdana"/>
        </w:rPr>
        <w:t>272</w:t>
      </w:r>
      <w:r w:rsidR="00450413">
        <w:rPr>
          <w:rFonts w:ascii="Verdana" w:hAnsi="Verdana"/>
        </w:rPr>
        <w:t>.</w:t>
      </w:r>
      <w:r w:rsidR="00F37048">
        <w:rPr>
          <w:rFonts w:ascii="Verdana" w:hAnsi="Verdana"/>
        </w:rPr>
        <w:t xml:space="preserve"> </w:t>
      </w:r>
      <w:r w:rsidR="00F37048">
        <w:rPr>
          <w:rFonts w:ascii="Verdana" w:hAnsi="Verdana" w:cs="Arial"/>
        </w:rPr>
        <w:t>m</w:t>
      </w:r>
      <w:r w:rsidR="00172291" w:rsidRPr="00C70141">
        <w:rPr>
          <w:rFonts w:ascii="Verdana" w:hAnsi="Verdana" w:cs="Arial"/>
        </w:rPr>
        <w:t>atrícula n°</w:t>
      </w:r>
      <w:r w:rsidR="00645DB5" w:rsidRPr="00C70141">
        <w:rPr>
          <w:rFonts w:ascii="Verdana" w:hAnsi="Verdana"/>
        </w:rPr>
        <w:t xml:space="preserve"> </w:t>
      </w:r>
      <w:r w:rsidR="00E86B2E" w:rsidRPr="00E86B2E">
        <w:rPr>
          <w:rFonts w:ascii="Verdana" w:hAnsi="Verdana" w:cs="Arial"/>
        </w:rPr>
        <w:t xml:space="preserve">62.712 </w:t>
      </w:r>
      <w:r w:rsidR="00172291" w:rsidRPr="00C70141">
        <w:rPr>
          <w:rFonts w:ascii="Verdana" w:hAnsi="Verdana" w:cs="Arial"/>
        </w:rPr>
        <w:t>do 1º CRI de</w:t>
      </w:r>
      <w:r w:rsidR="00645DB5" w:rsidRPr="00C70141">
        <w:rPr>
          <w:rFonts w:ascii="Verdana" w:hAnsi="Verdana" w:cs="Arial"/>
        </w:rPr>
        <w:t xml:space="preserve"> </w:t>
      </w:r>
      <w:r w:rsidR="00E86B2E">
        <w:rPr>
          <w:rFonts w:ascii="Verdana" w:hAnsi="Verdana" w:cs="Arial"/>
        </w:rPr>
        <w:t>Pindamonhangaba</w:t>
      </w:r>
      <w:r w:rsidR="00172291" w:rsidRPr="00C70141">
        <w:rPr>
          <w:rFonts w:ascii="Verdana" w:hAnsi="Verdana" w:cs="Arial"/>
        </w:rPr>
        <w:t>/</w:t>
      </w:r>
      <w:r w:rsidR="00645DB5" w:rsidRPr="00C70141">
        <w:rPr>
          <w:rFonts w:ascii="Verdana" w:hAnsi="Verdana" w:cs="Arial"/>
        </w:rPr>
        <w:t>SP</w:t>
      </w:r>
      <w:r w:rsidR="00172291" w:rsidRPr="00C70141">
        <w:rPr>
          <w:rFonts w:ascii="Verdana" w:hAnsi="Verdana" w:cs="Arial"/>
        </w:rPr>
        <w:t>.</w:t>
      </w:r>
      <w:r w:rsidR="00286859">
        <w:rPr>
          <w:rFonts w:ascii="Verdana" w:hAnsi="Verdana" w:cs="Arial"/>
        </w:rPr>
        <w:t xml:space="preserve"> </w:t>
      </w:r>
      <w:r w:rsidR="00172291" w:rsidRPr="00C70141">
        <w:rPr>
          <w:rFonts w:ascii="Verdana" w:hAnsi="Verdana" w:cs="Arial"/>
        </w:rPr>
        <w:t>Ônus</w:t>
      </w:r>
      <w:r w:rsidR="006B42D8" w:rsidRPr="00C70141">
        <w:rPr>
          <w:rFonts w:ascii="Verdana" w:hAnsi="Verdana" w:cs="Arial"/>
        </w:rPr>
        <w:t xml:space="preserve">: </w:t>
      </w:r>
      <w:r w:rsidR="00E86B2E" w:rsidRPr="00E86B2E">
        <w:rPr>
          <w:rFonts w:ascii="Verdana" w:hAnsi="Verdana" w:cs="Arial"/>
        </w:rPr>
        <w:t>Consta na R.2 Alienação Fiduciária em favor de Caixa Econômica Federal</w:t>
      </w:r>
      <w:r w:rsidR="00E86B2E">
        <w:rPr>
          <w:rFonts w:ascii="Verdana" w:hAnsi="Verdana" w:cs="Arial"/>
        </w:rPr>
        <w:t xml:space="preserve">. </w:t>
      </w:r>
      <w:r w:rsidR="00E86B2E" w:rsidRPr="00E86B2E">
        <w:rPr>
          <w:rFonts w:ascii="Verdana" w:hAnsi="Verdana" w:cs="Arial"/>
        </w:rPr>
        <w:t>Consta R.3 Atribuição de condomínio</w:t>
      </w:r>
    </w:p>
    <w:p w14:paraId="3FAA8359" w14:textId="2CA47841" w:rsidR="00286859" w:rsidRPr="00C70141" w:rsidRDefault="00286859" w:rsidP="00C70141">
      <w:pPr>
        <w:spacing w:line="360" w:lineRule="auto"/>
        <w:jc w:val="both"/>
        <w:rPr>
          <w:rFonts w:ascii="Verdana" w:hAnsi="Verdana"/>
        </w:rPr>
      </w:pPr>
    </w:p>
    <w:p w14:paraId="04770E4F" w14:textId="1D9DE2EB" w:rsidR="00B86D7D" w:rsidRDefault="00E86B2E" w:rsidP="00E86B2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Avaliação </w:t>
      </w:r>
      <w:r w:rsidRPr="00E86B2E">
        <w:rPr>
          <w:rFonts w:ascii="Verdana" w:hAnsi="Verdana"/>
        </w:rPr>
        <w:t>dos direitos</w:t>
      </w:r>
      <w:r>
        <w:rPr>
          <w:rFonts w:ascii="Verdana" w:hAnsi="Verdana"/>
        </w:rPr>
        <w:t xml:space="preserve"> </w:t>
      </w:r>
      <w:r w:rsidRPr="00E86B2E">
        <w:rPr>
          <w:rFonts w:ascii="Verdana" w:hAnsi="Verdana"/>
        </w:rPr>
        <w:t>aquisitivos penhorados</w:t>
      </w:r>
      <w:r w:rsidR="0086042E" w:rsidRPr="00C70141">
        <w:rPr>
          <w:rFonts w:ascii="Verdana" w:hAnsi="Verdana"/>
        </w:rPr>
        <w:t xml:space="preserve"> </w:t>
      </w:r>
      <w:r w:rsidR="00094C14" w:rsidRPr="00094C14">
        <w:rPr>
          <w:rFonts w:ascii="Verdana" w:hAnsi="Verdana"/>
        </w:rPr>
        <w:t>R$</w:t>
      </w:r>
      <w:r w:rsidR="002020B5">
        <w:rPr>
          <w:rFonts w:ascii="Verdana" w:hAnsi="Verdana"/>
        </w:rPr>
        <w:t>121.705,05</w:t>
      </w:r>
      <w:r w:rsidR="00F37048" w:rsidRPr="00094C14">
        <w:rPr>
          <w:rFonts w:ascii="Verdana" w:hAnsi="Verdana"/>
        </w:rPr>
        <w:t xml:space="preserve">. </w:t>
      </w:r>
    </w:p>
    <w:p w14:paraId="2AC5DC5D" w14:textId="79E73891" w:rsidR="002020B5" w:rsidRPr="002020B5" w:rsidRDefault="002020B5" w:rsidP="002020B5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Decisão constante nos autos: </w:t>
      </w:r>
      <w:r w:rsidRPr="002020B5">
        <w:rPr>
          <w:rFonts w:ascii="Verdana" w:hAnsi="Verdana"/>
        </w:rPr>
        <w:t>Fica consignado que:</w:t>
      </w:r>
      <w:r w:rsidR="002F5AF4">
        <w:rPr>
          <w:rFonts w:ascii="Verdana" w:hAnsi="Verdana"/>
        </w:rPr>
        <w:t xml:space="preserve"> </w:t>
      </w:r>
      <w:r w:rsidRPr="002020B5">
        <w:rPr>
          <w:rFonts w:ascii="Verdana" w:hAnsi="Verdana"/>
        </w:rPr>
        <w:t>I – a alienação judicial recairá exclusivamente sobre os direitos aquisitivos da executada relativos ao imóvel;</w:t>
      </w:r>
      <w:r>
        <w:rPr>
          <w:rFonts w:ascii="Verdana" w:hAnsi="Verdana"/>
        </w:rPr>
        <w:t xml:space="preserve"> </w:t>
      </w:r>
      <w:r w:rsidRPr="002020B5">
        <w:rPr>
          <w:rFonts w:ascii="Verdana" w:hAnsi="Verdana"/>
        </w:rPr>
        <w:t>II – o arrematante assumirá a posição contratual da devedora fiduciante perante a Caixa Econômica Federal, responsabilizando-se pelo pagamento do saldo devedor do contrato de financiamento, devidamente atualizado na forma contratual, bem como pelo cumprimento das demais obrigações dele decorrentes;</w:t>
      </w:r>
    </w:p>
    <w:p w14:paraId="1A10A223" w14:textId="03A3A272" w:rsidR="00286859" w:rsidRPr="00C70141" w:rsidRDefault="00286859" w:rsidP="00C70141">
      <w:pPr>
        <w:spacing w:line="360" w:lineRule="auto"/>
        <w:jc w:val="both"/>
        <w:rPr>
          <w:rFonts w:ascii="Verdana" w:hAnsi="Verdana"/>
        </w:rPr>
      </w:pPr>
    </w:p>
    <w:p w14:paraId="5A2A88D1" w14:textId="77777777" w:rsidR="0059043D" w:rsidRPr="00C70141" w:rsidRDefault="0059043D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 xml:space="preserve">Quem pode ofertar lances: É permitido a todos interessados fazer lances diretamente no sistema gestor, desde que, cadastrado e </w:t>
      </w:r>
      <w:r w:rsidRPr="00C70141">
        <w:rPr>
          <w:rFonts w:ascii="Verdana" w:hAnsi="Verdana"/>
        </w:rPr>
        <w:lastRenderedPageBreak/>
        <w:t>habilitado com no mínimo 24 horas que antecedem o encerramento do leilão; exceto os que se enquadrem no art. 890 do CPC ainda que cadastrados e habilitados no sistema.</w:t>
      </w:r>
    </w:p>
    <w:p w14:paraId="2CCF96B0" w14:textId="77777777" w:rsidR="0059043D" w:rsidRPr="00C70141" w:rsidRDefault="0059043D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2D4B2D5" w14:textId="77777777" w:rsidR="0059043D" w:rsidRPr="00C70141" w:rsidRDefault="0059043D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Da Comissão: A comissão do leiloeiro será de 5% sobre o valor da arrematação artigo 7° da Resolução 236/2016 do CNJ, não estando incluída no valor da arrematação e deverá ser paga diretamente à Leiloeira Oficial.</w:t>
      </w:r>
    </w:p>
    <w:p w14:paraId="24DD6781" w14:textId="77777777" w:rsidR="0059043D" w:rsidRPr="00C70141" w:rsidRDefault="0059043D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 xml:space="preserve">Da Adjudicação: Condicionada aos termos do art. 876 e 892, §1° do </w:t>
      </w:r>
      <w:r w:rsidR="00E63E5C" w:rsidRPr="00C70141">
        <w:rPr>
          <w:rFonts w:ascii="Verdana" w:hAnsi="Verdana"/>
        </w:rPr>
        <w:t>código de processo civil.</w:t>
      </w:r>
    </w:p>
    <w:p w14:paraId="5CD87656" w14:textId="510632A0" w:rsidR="00DE5C98" w:rsidRDefault="00DE5C98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Do pagamento: O arrematante terá o prazo de 24 horas para efetuar o pagamento da arrematação e da comissão</w:t>
      </w:r>
      <w:r w:rsidR="009408C4">
        <w:rPr>
          <w:rFonts w:ascii="Verdana" w:hAnsi="Verdana"/>
        </w:rPr>
        <w:t xml:space="preserve">. </w:t>
      </w:r>
    </w:p>
    <w:p w14:paraId="4942B506" w14:textId="77777777" w:rsidR="00450413" w:rsidRPr="00BE4B17" w:rsidRDefault="00450413" w:rsidP="00450413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 xml:space="preserve">% do valor do lance ofertado e o prazo não poderá ser  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atualizada pelos índices definidos pelo MM. Juiz. </w:t>
      </w:r>
      <w:r w:rsidRPr="00BE4B17">
        <w:rPr>
          <w:rFonts w:ascii="Verdana" w:hAnsi="Verdana"/>
        </w:rPr>
        <w:t xml:space="preserve">  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artigo 895 quanto a data para pagamento das parcelas, das garantias, da </w:t>
      </w:r>
      <w:r w:rsidRPr="00BE4B17">
        <w:rPr>
          <w:rFonts w:ascii="Verdana" w:hAnsi="Verdana"/>
        </w:rPr>
        <w:lastRenderedPageBreak/>
        <w:t>atualização mensal das parcelas vincendas e da decisão exarada pelo MM. Juiz nos autos.</w:t>
      </w:r>
    </w:p>
    <w:p w14:paraId="2C9773D0" w14:textId="77777777" w:rsidR="00450413" w:rsidRPr="00C70141" w:rsidRDefault="00450413" w:rsidP="00C70141">
      <w:pPr>
        <w:spacing w:line="360" w:lineRule="auto"/>
        <w:jc w:val="both"/>
        <w:rPr>
          <w:rFonts w:ascii="Verdana" w:hAnsi="Verdana"/>
        </w:rPr>
      </w:pPr>
    </w:p>
    <w:p w14:paraId="58557E61" w14:textId="24F4F491" w:rsidR="00C41CB5" w:rsidRPr="00C41CB5" w:rsidRDefault="00C70141" w:rsidP="00C41CB5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Responsabilidade outras:</w:t>
      </w:r>
      <w:r w:rsidR="00450413">
        <w:rPr>
          <w:rFonts w:ascii="Verdana" w:hAnsi="Verdana"/>
        </w:rPr>
        <w:t xml:space="preserve"> O </w:t>
      </w:r>
      <w:r w:rsidR="00450413" w:rsidRPr="00450413">
        <w:rPr>
          <w:rFonts w:ascii="Verdana" w:hAnsi="Verdana"/>
        </w:rPr>
        <w:t>arrematante assumirá a posição contratual da devedora fiduciante</w:t>
      </w:r>
      <w:r w:rsidR="00450413">
        <w:rPr>
          <w:rFonts w:ascii="Verdana" w:hAnsi="Verdana"/>
        </w:rPr>
        <w:t xml:space="preserve"> </w:t>
      </w:r>
      <w:r w:rsidR="00450413" w:rsidRPr="00450413">
        <w:rPr>
          <w:rFonts w:ascii="Verdana" w:hAnsi="Verdana"/>
        </w:rPr>
        <w:t>perante a Caixa Econômica Federal, responsabilizando-se pelo saldo devedor do contrato, atualizado na forma contratual</w:t>
      </w:r>
      <w:r w:rsidR="00C41CB5" w:rsidRPr="00C41CB5">
        <w:rPr>
          <w:rFonts w:ascii="Verdana" w:hAnsi="Verdana"/>
        </w:rPr>
        <w:t>, exceto os</w:t>
      </w:r>
      <w:r w:rsidR="00C41CB5">
        <w:rPr>
          <w:rFonts w:ascii="Verdana" w:hAnsi="Verdana"/>
        </w:rPr>
        <w:t xml:space="preserve"> </w:t>
      </w:r>
      <w:r w:rsidR="00C41CB5" w:rsidRPr="00C41CB5">
        <w:rPr>
          <w:rFonts w:ascii="Verdana" w:hAnsi="Verdana"/>
        </w:rPr>
        <w:t>decorrentes de débitos fiscais e tributários conforme o art. 130, parágrafo único, do Código</w:t>
      </w:r>
      <w:r w:rsidR="00C41CB5">
        <w:rPr>
          <w:rFonts w:ascii="Verdana" w:hAnsi="Verdana"/>
        </w:rPr>
        <w:t xml:space="preserve"> </w:t>
      </w:r>
      <w:r w:rsidR="00C41CB5" w:rsidRPr="00C41CB5">
        <w:rPr>
          <w:rFonts w:ascii="Verdana" w:hAnsi="Verdana"/>
        </w:rPr>
        <w:t>Tributário Nacional;</w:t>
      </w:r>
    </w:p>
    <w:p w14:paraId="57AABD4C" w14:textId="62DE24CE" w:rsidR="00C70141" w:rsidRPr="00BE4B17" w:rsidRDefault="00C70141" w:rsidP="00C70141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C2CF7FB" w14:textId="77777777" w:rsidR="00C70141" w:rsidRPr="00BE4B17" w:rsidRDefault="00C70141" w:rsidP="00C70141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00D57EB3" w14:textId="77777777" w:rsidR="00BE4B17" w:rsidRPr="00C70141" w:rsidRDefault="00BE4B17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Da Carta de arrematação: A carta de arrematação será expedida pelo MM. Juiz nos termos dos art. 901 e 903 do código de processo civil.</w:t>
      </w:r>
    </w:p>
    <w:p w14:paraId="196A5220" w14:textId="7DB33911" w:rsidR="003E7A5B" w:rsidRPr="00C70141" w:rsidRDefault="003E7A5B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Dúvidas e Esclarecimentos: pessoalmente perante o</w:t>
      </w:r>
      <w:r w:rsidR="00A26A9E" w:rsidRPr="00C70141">
        <w:rPr>
          <w:rFonts w:ascii="Verdana" w:hAnsi="Verdana"/>
        </w:rPr>
        <w:t xml:space="preserve"> </w:t>
      </w:r>
      <w:r w:rsidR="00F37048">
        <w:rPr>
          <w:rFonts w:ascii="Verdana" w:hAnsi="Verdana"/>
        </w:rPr>
        <w:t>3</w:t>
      </w:r>
      <w:r w:rsidR="004F3CCD" w:rsidRPr="00C70141">
        <w:rPr>
          <w:rFonts w:ascii="Verdana" w:hAnsi="Verdana"/>
        </w:rPr>
        <w:t>º</w:t>
      </w:r>
      <w:r w:rsidRPr="00C70141">
        <w:rPr>
          <w:rFonts w:ascii="Verdana" w:hAnsi="Verdana"/>
        </w:rPr>
        <w:t xml:space="preserve"> Ofício Cível, ou no escritório do Leiloeiro Oficial, Avenida </w:t>
      </w:r>
      <w:r w:rsidR="00B324D2" w:rsidRPr="00C70141">
        <w:rPr>
          <w:rFonts w:ascii="Verdana" w:hAnsi="Verdana"/>
        </w:rPr>
        <w:t>Marques de São Vicente, 230</w:t>
      </w:r>
      <w:r w:rsidRPr="00C70141">
        <w:rPr>
          <w:rFonts w:ascii="Verdana" w:hAnsi="Verdana"/>
        </w:rPr>
        <w:t xml:space="preserve">, SP - Capital, ou ainda, pelo telefone </w:t>
      </w:r>
      <w:r w:rsidR="004F3CCD" w:rsidRPr="00C70141">
        <w:rPr>
          <w:rFonts w:ascii="Verdana" w:hAnsi="Verdana"/>
        </w:rPr>
        <w:t xml:space="preserve">11 </w:t>
      </w:r>
      <w:r w:rsidRPr="00C70141">
        <w:rPr>
          <w:rFonts w:ascii="Verdana" w:hAnsi="Verdana"/>
        </w:rPr>
        <w:t xml:space="preserve">3965-0000 / Whats App </w:t>
      </w:r>
      <w:r w:rsidR="004F3CCD" w:rsidRPr="00C70141">
        <w:rPr>
          <w:rFonts w:ascii="Verdana" w:hAnsi="Verdana"/>
        </w:rPr>
        <w:t>11</w:t>
      </w:r>
      <w:r w:rsidRPr="00C70141">
        <w:rPr>
          <w:rFonts w:ascii="Verdana" w:hAnsi="Verdana"/>
        </w:rPr>
        <w:t xml:space="preserve"> 95662-5151, e e-mail: </w:t>
      </w:r>
      <w:hyperlink r:id="rId5" w:history="1">
        <w:r w:rsidRPr="00C70141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C70141">
        <w:rPr>
          <w:rFonts w:ascii="Verdana" w:hAnsi="Verdana"/>
        </w:rPr>
        <w:t>.</w:t>
      </w:r>
    </w:p>
    <w:p w14:paraId="1EDD58D7" w14:textId="05CE1DE2" w:rsidR="003E7A5B" w:rsidRPr="00C70141" w:rsidRDefault="003E7A5B" w:rsidP="00C70141">
      <w:pPr>
        <w:spacing w:line="360" w:lineRule="auto"/>
        <w:jc w:val="both"/>
        <w:rPr>
          <w:rFonts w:ascii="Verdana" w:hAnsi="Verdana"/>
        </w:rPr>
      </w:pPr>
      <w:r w:rsidRPr="00C70141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C70141">
        <w:rPr>
          <w:rFonts w:ascii="Verdana" w:hAnsi="Verdana"/>
        </w:rPr>
        <w:t xml:space="preserve"> </w:t>
      </w:r>
      <w:r w:rsidRPr="00C70141">
        <w:rPr>
          <w:rFonts w:ascii="Verdana" w:hAnsi="Verdana"/>
        </w:rPr>
        <w:t>2° do CPC.</w:t>
      </w:r>
      <w:r w:rsidR="00A26A9E" w:rsidRPr="00C70141">
        <w:rPr>
          <w:rFonts w:ascii="Verdana" w:hAnsi="Verdana"/>
        </w:rPr>
        <w:t xml:space="preserve"> </w:t>
      </w:r>
      <w:r w:rsidR="00F37048">
        <w:rPr>
          <w:rFonts w:ascii="Verdana" w:hAnsi="Verdana"/>
        </w:rPr>
        <w:t>Pindamonhangaba, 31 de julho de 2026</w:t>
      </w:r>
      <w:r w:rsidR="006306E9" w:rsidRPr="00C70141">
        <w:rPr>
          <w:rFonts w:ascii="Verdana" w:hAnsi="Verdana"/>
        </w:rPr>
        <w:t>.</w:t>
      </w:r>
    </w:p>
    <w:p w14:paraId="2CA5EC76" w14:textId="77777777" w:rsidR="00890A30" w:rsidRPr="00C70141" w:rsidRDefault="00890A30" w:rsidP="00C70141">
      <w:pPr>
        <w:spacing w:line="360" w:lineRule="auto"/>
        <w:jc w:val="both"/>
        <w:rPr>
          <w:rFonts w:ascii="Verdana" w:hAnsi="Verdana"/>
        </w:rPr>
      </w:pPr>
    </w:p>
    <w:sectPr w:rsidR="00890A30" w:rsidRPr="00C701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54F66"/>
    <w:rsid w:val="000618B5"/>
    <w:rsid w:val="00094C14"/>
    <w:rsid w:val="000C0B60"/>
    <w:rsid w:val="000F38E3"/>
    <w:rsid w:val="00172291"/>
    <w:rsid w:val="001D2A45"/>
    <w:rsid w:val="001D2E48"/>
    <w:rsid w:val="001E5EAB"/>
    <w:rsid w:val="002020B5"/>
    <w:rsid w:val="00211F2F"/>
    <w:rsid w:val="00286859"/>
    <w:rsid w:val="002A3CD4"/>
    <w:rsid w:val="002F5AF4"/>
    <w:rsid w:val="003008F5"/>
    <w:rsid w:val="00303674"/>
    <w:rsid w:val="00337A7B"/>
    <w:rsid w:val="0034212F"/>
    <w:rsid w:val="00371621"/>
    <w:rsid w:val="003E7A5B"/>
    <w:rsid w:val="003F2E54"/>
    <w:rsid w:val="00407590"/>
    <w:rsid w:val="004111DF"/>
    <w:rsid w:val="00444661"/>
    <w:rsid w:val="00450413"/>
    <w:rsid w:val="00471BC4"/>
    <w:rsid w:val="00494AEA"/>
    <w:rsid w:val="004A42F0"/>
    <w:rsid w:val="004D1854"/>
    <w:rsid w:val="004E57D0"/>
    <w:rsid w:val="004F0F3A"/>
    <w:rsid w:val="004F3CCD"/>
    <w:rsid w:val="00535E93"/>
    <w:rsid w:val="00546D7D"/>
    <w:rsid w:val="0055012E"/>
    <w:rsid w:val="0058546E"/>
    <w:rsid w:val="0059043D"/>
    <w:rsid w:val="006306E9"/>
    <w:rsid w:val="00645DB5"/>
    <w:rsid w:val="006538C2"/>
    <w:rsid w:val="006B42D8"/>
    <w:rsid w:val="007864ED"/>
    <w:rsid w:val="00786F17"/>
    <w:rsid w:val="007C1943"/>
    <w:rsid w:val="007F6160"/>
    <w:rsid w:val="00802300"/>
    <w:rsid w:val="00835AD5"/>
    <w:rsid w:val="0086042E"/>
    <w:rsid w:val="00890A30"/>
    <w:rsid w:val="008A7AA7"/>
    <w:rsid w:val="008C58AF"/>
    <w:rsid w:val="008F2F3E"/>
    <w:rsid w:val="009408C4"/>
    <w:rsid w:val="00954FF0"/>
    <w:rsid w:val="009971CB"/>
    <w:rsid w:val="009A4718"/>
    <w:rsid w:val="00A26A9E"/>
    <w:rsid w:val="00A34BE7"/>
    <w:rsid w:val="00A6017E"/>
    <w:rsid w:val="00A77173"/>
    <w:rsid w:val="00AC0BE8"/>
    <w:rsid w:val="00AE5ED6"/>
    <w:rsid w:val="00AF3269"/>
    <w:rsid w:val="00B324D2"/>
    <w:rsid w:val="00B86D7D"/>
    <w:rsid w:val="00BA2701"/>
    <w:rsid w:val="00BE32DC"/>
    <w:rsid w:val="00BE4B17"/>
    <w:rsid w:val="00C108FC"/>
    <w:rsid w:val="00C41CB5"/>
    <w:rsid w:val="00C70141"/>
    <w:rsid w:val="00C7621C"/>
    <w:rsid w:val="00CB5A61"/>
    <w:rsid w:val="00D317F7"/>
    <w:rsid w:val="00DE5C98"/>
    <w:rsid w:val="00E63E5C"/>
    <w:rsid w:val="00E86B2E"/>
    <w:rsid w:val="00EE535D"/>
    <w:rsid w:val="00F11BA9"/>
    <w:rsid w:val="00F37048"/>
    <w:rsid w:val="00F65EDC"/>
    <w:rsid w:val="00F860F9"/>
    <w:rsid w:val="00F91F2E"/>
    <w:rsid w:val="00FD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2F82"/>
  <w15:chartTrackingRefBased/>
  <w15:docId w15:val="{4B95F517-F8FB-4D28-A9B4-83BDF53E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229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3</cp:revision>
  <cp:lastPrinted>2026-07-08T12:18:00Z</cp:lastPrinted>
  <dcterms:created xsi:type="dcterms:W3CDTF">2026-08-05T11:53:00Z</dcterms:created>
  <dcterms:modified xsi:type="dcterms:W3CDTF">2026-08-05T13:15:00Z</dcterms:modified>
</cp:coreProperties>
</file>