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6F39" w14:textId="77777777" w:rsidR="009A4474" w:rsidRPr="003C11F4" w:rsidRDefault="009A4474" w:rsidP="003C11F4">
      <w:pPr>
        <w:spacing w:line="360" w:lineRule="auto"/>
        <w:jc w:val="center"/>
        <w:rPr>
          <w:sz w:val="24"/>
          <w:szCs w:val="28"/>
          <w:lang w:val="pt-BR"/>
        </w:rPr>
      </w:pPr>
      <w:r w:rsidRPr="003C11F4">
        <w:rPr>
          <w:sz w:val="24"/>
          <w:szCs w:val="28"/>
          <w:lang w:val="pt-BR"/>
        </w:rPr>
        <w:t>1ª Vara Cível do Foro de Sertãozinho – SP</w:t>
      </w:r>
    </w:p>
    <w:p w14:paraId="054C4096" w14:textId="77777777" w:rsidR="009A4474" w:rsidRPr="003C11F4" w:rsidRDefault="009A4474" w:rsidP="003C11F4">
      <w:pPr>
        <w:spacing w:line="360" w:lineRule="auto"/>
        <w:jc w:val="both"/>
        <w:rPr>
          <w:sz w:val="24"/>
          <w:szCs w:val="28"/>
          <w:lang w:val="pt-BR"/>
        </w:rPr>
      </w:pPr>
    </w:p>
    <w:p w14:paraId="0A18790F" w14:textId="3F77FBF2" w:rsidR="009A4474" w:rsidRPr="003C11F4" w:rsidRDefault="009A4474" w:rsidP="003C11F4">
      <w:pPr>
        <w:spacing w:line="360" w:lineRule="auto"/>
        <w:jc w:val="both"/>
        <w:rPr>
          <w:sz w:val="24"/>
          <w:szCs w:val="28"/>
          <w:lang w:val="pt-BR"/>
        </w:rPr>
      </w:pPr>
      <w:r w:rsidRPr="003C11F4">
        <w:rPr>
          <w:sz w:val="24"/>
          <w:szCs w:val="28"/>
          <w:lang w:val="pt-BR"/>
        </w:rPr>
        <w:t>Edital de 1º e 2º leilão de bem imóvel e para intimação de Galeno Garibaldo Grisi e demais interessados, expedido nos autos da Execução de Alimentos que lhe move Emilia Sophia Rodrigues Grisi, processo nº 0001192-98.2015.8.16.0105, em cumprimento à Carta Precatória nº 1000122-43.2026.8.26.0597</w:t>
      </w:r>
    </w:p>
    <w:p w14:paraId="6AE899DB" w14:textId="790954B1" w:rsidR="009A4474" w:rsidRPr="003C11F4" w:rsidRDefault="009A4474" w:rsidP="003C11F4">
      <w:pPr>
        <w:spacing w:line="360" w:lineRule="auto"/>
        <w:jc w:val="both"/>
        <w:rPr>
          <w:sz w:val="24"/>
          <w:szCs w:val="28"/>
          <w:lang w:val="pt-BR"/>
        </w:rPr>
      </w:pPr>
      <w:r w:rsidRPr="003C11F4">
        <w:rPr>
          <w:sz w:val="24"/>
          <w:szCs w:val="28"/>
          <w:lang w:val="pt-BR"/>
        </w:rPr>
        <w:t>A Dra. Ana Carolina Aleixo Cascaldi Marcelino Gomes Cunha, Juíza de Direito da 1ª Vara Cível do Foro de Sertãozinho, Estado de São Paulo, na forma da lei, etc...</w:t>
      </w:r>
    </w:p>
    <w:p w14:paraId="41203843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F</w:t>
      </w:r>
      <w:r w:rsidRPr="003C11F4">
        <w:rPr>
          <w:sz w:val="24"/>
          <w:szCs w:val="28"/>
        </w:rPr>
        <w:t>az Saber que o Leiloeiro Oficial, Sr. Irani Flores, JUCESP nº 792, levará a leilão público para venda e arrematação, no local e hora descritos no edital com transmissão pela internet e disponibilização imediata na plataforma de leilões eletrônicos, www.leilaobrasil.com.br, para lances através da internet.</w:t>
      </w:r>
    </w:p>
    <w:p w14:paraId="0C1B3AFC" w14:textId="519E3013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 xml:space="preserve">Do início e encerramento do Leilão: Início do 1º leilão em </w:t>
      </w:r>
      <w:r w:rsidR="00E4377B" w:rsidRPr="003C11F4">
        <w:rPr>
          <w:sz w:val="24"/>
          <w:szCs w:val="28"/>
        </w:rPr>
        <w:t>18</w:t>
      </w:r>
      <w:r w:rsidRPr="003C11F4">
        <w:rPr>
          <w:sz w:val="24"/>
          <w:szCs w:val="28"/>
        </w:rPr>
        <w:t>/12/2026 às 10h55 e encerramento do 1º leilão em 2</w:t>
      </w:r>
      <w:r w:rsidR="00E4377B" w:rsidRPr="003C11F4">
        <w:rPr>
          <w:sz w:val="24"/>
          <w:szCs w:val="28"/>
        </w:rPr>
        <w:t>1</w:t>
      </w:r>
      <w:r w:rsidRPr="003C11F4">
        <w:rPr>
          <w:sz w:val="24"/>
          <w:szCs w:val="28"/>
        </w:rPr>
        <w:t>/12/2026 às 10h55; não</w:t>
      </w:r>
      <w:r w:rsidRPr="003C11F4">
        <w:rPr>
          <w:sz w:val="24"/>
          <w:szCs w:val="28"/>
        </w:rPr>
        <w:t xml:space="preserve"> havendo lance igual ou superior ao valor da avaliação atualizada, seguir-se-á sem interrupção o 2º leilão, que se encerrará em 21/01/2027 às 10h55, não sendo aceitos lances inferiores a 60% do valor da avaliação atualizada pelos índices do TJSP para a data da abertura do leilão, ofertados diretamente na plataforma através da internet.</w:t>
      </w:r>
    </w:p>
    <w:p w14:paraId="1DA684C2" w14:textId="614D2F5A" w:rsidR="002F5D20" w:rsidRPr="003C11F4" w:rsidRDefault="009A4474" w:rsidP="003C11F4">
      <w:pPr>
        <w:spacing w:line="360" w:lineRule="auto"/>
        <w:jc w:val="both"/>
        <w:rPr>
          <w:sz w:val="24"/>
          <w:szCs w:val="28"/>
          <w:lang w:val="pt-BR"/>
        </w:rPr>
      </w:pPr>
      <w:r w:rsidRPr="003C11F4">
        <w:rPr>
          <w:sz w:val="24"/>
          <w:szCs w:val="28"/>
          <w:lang w:val="pt-BR"/>
        </w:rPr>
        <w:t>Bem: Uma sala comercial sob nº 25 (vinte e cinco), localizada no 2º andar, no canto esquerdo do andar para quem de um dos elevadores sair, do condomínio denominado “</w:t>
      </w:r>
      <w:r w:rsidR="003C11F4" w:rsidRPr="003C11F4">
        <w:rPr>
          <w:sz w:val="24"/>
          <w:szCs w:val="28"/>
          <w:lang w:val="pt-BR"/>
        </w:rPr>
        <w:t>Edifício Largo a Matriz</w:t>
      </w:r>
      <w:r w:rsidRPr="003C11F4">
        <w:rPr>
          <w:sz w:val="24"/>
          <w:szCs w:val="28"/>
          <w:lang w:val="pt-BR"/>
        </w:rPr>
        <w:t xml:space="preserve">”, situado nesta cidade e comarca de Sertãozinho, com frente para a </w:t>
      </w:r>
      <w:r w:rsidR="003C11F4" w:rsidRPr="003C11F4">
        <w:rPr>
          <w:sz w:val="24"/>
          <w:szCs w:val="28"/>
          <w:lang w:val="pt-BR"/>
        </w:rPr>
        <w:t>Rua Coronel Francisco Schmidt</w:t>
      </w:r>
      <w:r w:rsidRPr="003C11F4">
        <w:rPr>
          <w:sz w:val="24"/>
          <w:szCs w:val="28"/>
          <w:lang w:val="pt-BR"/>
        </w:rPr>
        <w:t xml:space="preserve">, </w:t>
      </w:r>
      <w:r w:rsidR="003C11F4">
        <w:rPr>
          <w:sz w:val="24"/>
          <w:szCs w:val="28"/>
          <w:lang w:val="pt-BR"/>
        </w:rPr>
        <w:t>n</w:t>
      </w:r>
      <w:r w:rsidRPr="003C11F4">
        <w:rPr>
          <w:sz w:val="24"/>
          <w:szCs w:val="28"/>
          <w:lang w:val="pt-BR"/>
        </w:rPr>
        <w:t xml:space="preserve">º 1.400 (um mil e quatrocentos), com a área útil de 42,3310 metros quadrados, área comum de 13,7055 metros quadrados, </w:t>
      </w:r>
      <w:r w:rsidRPr="003C11F4">
        <w:rPr>
          <w:sz w:val="24"/>
          <w:szCs w:val="28"/>
          <w:lang w:val="pt-BR"/>
        </w:rPr>
        <w:lastRenderedPageBreak/>
        <w:t>perfazendo a área total de 56,0365 metros quadrados, correspondendo-lhe uma fração ideal de 1,5673% no terreno e nas coisas comuns, confrontando pela frente com a Rua Coronel Francisco Schmidt; do lado direito com o terreno em condomínio sobre a entrada do edifício; do lado esquerdo com o hall de circulação e sala nº 26; e, pelos fundos com a sala nº 24. A unidade é de uso exclusivamente comercial, sendo que o terreno em que se assenta o edifício faz frente para a Rua Aprígio de Araújo, esquina com a Rua Coronel Francisco Schmidt, encerrando a área de trezentos e oitenta e um metros e quarenta e oito (381,48) decímetros quadrados, devidamente descrito e caracterizado na matrícula nº 18.108, deste livro. CPM nº 01.04.10.2.1400.025, código nº 29.035.00</w:t>
      </w:r>
      <w:r w:rsidR="003C11F4">
        <w:rPr>
          <w:sz w:val="24"/>
          <w:szCs w:val="28"/>
          <w:lang w:val="pt-BR"/>
        </w:rPr>
        <w:t xml:space="preserve">. </w:t>
      </w:r>
      <w:r w:rsidR="002F5D20" w:rsidRPr="003C11F4">
        <w:rPr>
          <w:sz w:val="24"/>
          <w:szCs w:val="28"/>
          <w:lang w:val="pt-BR"/>
        </w:rPr>
        <w:t>Matrícula nº 40.415 do CRI de Sertãozinho</w:t>
      </w:r>
    </w:p>
    <w:p w14:paraId="5A9024BD" w14:textId="104318F1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Avaliação: R$ 170.000,00 (março de 2026)</w:t>
      </w:r>
    </w:p>
    <w:p w14:paraId="21A44517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Quem pode ofertar lances: É permitido a todos os interessados fazer lances diretamente no sistema gestor, desde que cadastrados e habilitados com no mínimo 24 horas que antecedem o encerramento do leilão; exceto os que se enquadrem no art. 890 do CPC, ainda que cadastrados e habilitados no sistema.</w:t>
      </w:r>
    </w:p>
    <w:p w14:paraId="35FB466B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Da Prorrogação do Leilão: Sobrevindo lance a menos de três minutos para o encerramento, o sistema prorrogará automaticamente por mais três minutos sucessivamente para que todos tenham as mesmas chances.</w:t>
      </w:r>
    </w:p>
    <w:p w14:paraId="03C94028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Da Comissão: A comissão do leiloeiro será de 5% sobre o valor da arrematação, artigo 7º da Resolução 236/2016 do CNJ, não estando incluída no valor da arrematação e deverá ser paga diretamente ao Leiloeiro Oficial.</w:t>
      </w:r>
    </w:p>
    <w:p w14:paraId="5AAEE45E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Da Adjudicação: Condicionada aos termos dos arts. 876 e 892, § 1º, do Código de Processo Civil.</w:t>
      </w:r>
    </w:p>
    <w:p w14:paraId="027BDFF1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lastRenderedPageBreak/>
        <w:t>Do pagamento: O arrematante terá o prazo de 24 horas para efetuar o pagamento integral da arrematação e da comissão, conforme decisão judicial.</w:t>
      </w:r>
    </w:p>
    <w:p w14:paraId="654AC257" w14:textId="0C012510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 xml:space="preserve">Do pagamento parcelado: O interessado poderá apresentar proposta escrita na forma do art. 895 do CPC, até o início da primeira etapa por valor não inferior à avaliação, ou até o início da segunda etapa por valor não inferior a 60% da avaliação atualizada, conforme decisão judicial. A proposta ficará sujeita à apreciação do Juízo, observados os requisitos legais, inclusive entrada mínima de 25%, prazo máximo de 30 meses, garantias e preferência do pagamento à vista. </w:t>
      </w:r>
    </w:p>
    <w:p w14:paraId="000E80BE" w14:textId="22F799BA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 xml:space="preserve">Responsabilidade outras: Correrão por conta do arrematante as despesas de transferência patrimonial, registro e demais providências necessárias, ressalvadas as hipóteses legais de sub-rogação dos créditos tributários no preço, nos termos do art. 130, parágrafo único, do CTN, e as determinações judiciais. Conforme a decisão, o arrematante arcará com débitos pendentes que recaiam sobre o bem, exceto os fiscais e tributários; </w:t>
      </w:r>
    </w:p>
    <w:p w14:paraId="476DAA2D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Das Garantias: O bem será vendido em caráter “ad corpus”, no estado de conservação em que se encontra, sem garantia, cabendo exclusivamente ao interessado verificar suas condições físicas, documentais e processuais antes de ofertar lances, observada a possibilidade de visitação e as determinações judiciais.</w:t>
      </w:r>
    </w:p>
    <w:p w14:paraId="5526602E" w14:textId="0E73CB53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 xml:space="preserve">Recursos: </w:t>
      </w:r>
      <w:r w:rsidR="009A4474" w:rsidRPr="003C11F4">
        <w:rPr>
          <w:sz w:val="24"/>
          <w:szCs w:val="28"/>
        </w:rPr>
        <w:t>Dos autos não consta recursos ou causas pendentes de julgamento.</w:t>
      </w:r>
    </w:p>
    <w:p w14:paraId="3C44B867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>Da Carta de arrematação: A carta de arrematação será expedida pelo MM. Juiz nos termos dos arts. 901 e 903 do Código de Processo Civil.</w:t>
      </w:r>
    </w:p>
    <w:p w14:paraId="33630C47" w14:textId="77777777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lastRenderedPageBreak/>
        <w:t>Dúvidas e Esclarecimentos: perante o Ofício Judicial competente ou o escritório do Leiloeiro Oficial, pelo telefone (11) 3965-0000, WhatsApp (11) 95662-5151 e e-mail atendimento@leilaobrasil.com.br.</w:t>
      </w:r>
    </w:p>
    <w:p w14:paraId="754ABCCF" w14:textId="13FC5A86" w:rsidR="0040084A" w:rsidRPr="003C11F4" w:rsidRDefault="00457051" w:rsidP="003C11F4">
      <w:pPr>
        <w:spacing w:line="360" w:lineRule="auto"/>
        <w:jc w:val="both"/>
        <w:rPr>
          <w:sz w:val="24"/>
          <w:szCs w:val="28"/>
        </w:rPr>
      </w:pPr>
      <w:r w:rsidRPr="003C11F4">
        <w:rPr>
          <w:sz w:val="24"/>
          <w:szCs w:val="28"/>
        </w:rPr>
        <w:t xml:space="preserve">Ficam o executado, a exequente, os eventuais coproprietários, titulares de direitos reais, credores e demais interessados legalmente sujeitos à intimação, INTIMADOS das designações supra, caso não sejam localizados para as intimações pessoais, mediante edital publicado na forma da lei, observados os arts. 889 e 887 do CPC. </w:t>
      </w:r>
    </w:p>
    <w:sectPr w:rsidR="0040084A" w:rsidRPr="003C11F4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2528623">
    <w:abstractNumId w:val="8"/>
  </w:num>
  <w:num w:numId="2" w16cid:durableId="192160114">
    <w:abstractNumId w:val="6"/>
  </w:num>
  <w:num w:numId="3" w16cid:durableId="340930310">
    <w:abstractNumId w:val="5"/>
  </w:num>
  <w:num w:numId="4" w16cid:durableId="1261375663">
    <w:abstractNumId w:val="4"/>
  </w:num>
  <w:num w:numId="5" w16cid:durableId="278412099">
    <w:abstractNumId w:val="7"/>
  </w:num>
  <w:num w:numId="6" w16cid:durableId="1248075135">
    <w:abstractNumId w:val="3"/>
  </w:num>
  <w:num w:numId="7" w16cid:durableId="1239174876">
    <w:abstractNumId w:val="2"/>
  </w:num>
  <w:num w:numId="8" w16cid:durableId="645668307">
    <w:abstractNumId w:val="1"/>
  </w:num>
  <w:num w:numId="9" w16cid:durableId="187592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89C"/>
    <w:rsid w:val="0015074B"/>
    <w:rsid w:val="0029639D"/>
    <w:rsid w:val="002F5D20"/>
    <w:rsid w:val="00326F90"/>
    <w:rsid w:val="003C11F4"/>
    <w:rsid w:val="0040084A"/>
    <w:rsid w:val="00562A1B"/>
    <w:rsid w:val="009A4474"/>
    <w:rsid w:val="00A76706"/>
    <w:rsid w:val="00AA1D8D"/>
    <w:rsid w:val="00B47730"/>
    <w:rsid w:val="00CB0664"/>
    <w:rsid w:val="00CE0754"/>
    <w:rsid w:val="00E437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5E3FB"/>
  <w14:defaultImageDpi w14:val="300"/>
  <w15:docId w15:val="{95D9AD0A-1B72-4846-BED6-0A6A5305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A447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848</Words>
  <Characters>4585</Characters>
  <Application>Microsoft Office Word</Application>
  <DocSecurity>4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Leilão Brasil</cp:lastModifiedBy>
  <cp:revision>2</cp:revision>
  <cp:lastPrinted>2026-10-27T17:46:00Z</cp:lastPrinted>
  <dcterms:created xsi:type="dcterms:W3CDTF">2026-10-27T17:51:00Z</dcterms:created>
  <dcterms:modified xsi:type="dcterms:W3CDTF">2026-10-27T17:51:00Z</dcterms:modified>
  <cp:category/>
</cp:coreProperties>
</file>