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52E5C" w14:textId="77777777" w:rsidR="00F90308" w:rsidRDefault="00F90308" w:rsidP="00303999">
      <w:pPr>
        <w:spacing w:line="360" w:lineRule="auto"/>
        <w:ind w:right="-1"/>
        <w:rPr>
          <w:rFonts w:ascii="Verdana" w:hAnsi="Verdana"/>
        </w:rPr>
      </w:pPr>
    </w:p>
    <w:p w14:paraId="331037D8" w14:textId="77777777" w:rsidR="00585243" w:rsidRPr="00303999" w:rsidRDefault="006201AF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Edital de leilão de bem móvel (Bovinos) e para </w:t>
      </w:r>
      <w:r w:rsidR="008076C5" w:rsidRPr="00303999">
        <w:rPr>
          <w:rFonts w:ascii="Verdana" w:hAnsi="Verdana"/>
        </w:rPr>
        <w:t>intimação</w:t>
      </w:r>
      <w:r w:rsidRPr="00303999">
        <w:rPr>
          <w:rFonts w:ascii="Verdana" w:hAnsi="Verdana"/>
        </w:rPr>
        <w:t xml:space="preserve"> da executada Marta Maria de Oliveira Fontes, </w:t>
      </w:r>
      <w:r w:rsidR="00585243" w:rsidRPr="00303999">
        <w:rPr>
          <w:rFonts w:ascii="Verdana" w:hAnsi="Verdana"/>
        </w:rPr>
        <w:t>expedido nos autos da ação de Execução de Título Extrajudicial - Contratos Bancários movida por B</w:t>
      </w:r>
      <w:r w:rsidRPr="00303999">
        <w:rPr>
          <w:rFonts w:ascii="Verdana" w:hAnsi="Verdana"/>
        </w:rPr>
        <w:t xml:space="preserve">anco do Brasil </w:t>
      </w:r>
      <w:r w:rsidR="00585243" w:rsidRPr="00303999">
        <w:rPr>
          <w:rFonts w:ascii="Verdana" w:hAnsi="Verdana"/>
        </w:rPr>
        <w:t>S/A, P</w:t>
      </w:r>
      <w:r w:rsidRPr="00303999">
        <w:rPr>
          <w:rFonts w:ascii="Verdana" w:hAnsi="Verdana"/>
        </w:rPr>
        <w:t xml:space="preserve">rocesso </w:t>
      </w:r>
      <w:r w:rsidR="00585243" w:rsidRPr="00303999">
        <w:rPr>
          <w:rFonts w:ascii="Verdana" w:hAnsi="Verdana"/>
        </w:rPr>
        <w:t xml:space="preserve"> Nº 1000303-14.2023.8.26.0059</w:t>
      </w:r>
    </w:p>
    <w:p w14:paraId="103B2AB2" w14:textId="77777777" w:rsidR="00585243" w:rsidRPr="00303999" w:rsidRDefault="006201AF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>A</w:t>
      </w:r>
      <w:r w:rsidR="00585243" w:rsidRPr="00303999">
        <w:rPr>
          <w:rFonts w:ascii="Verdana" w:hAnsi="Verdana"/>
        </w:rPr>
        <w:t xml:space="preserve"> MM</w:t>
      </w:r>
      <w:r w:rsidRPr="00303999">
        <w:rPr>
          <w:rFonts w:ascii="Verdana" w:hAnsi="Verdana"/>
        </w:rPr>
        <w:t>a</w:t>
      </w:r>
      <w:r w:rsidR="00585243" w:rsidRPr="00303999">
        <w:rPr>
          <w:rFonts w:ascii="Verdana" w:hAnsi="Verdana"/>
        </w:rPr>
        <w:t xml:space="preserve">. </w:t>
      </w:r>
      <w:r w:rsidR="008076C5" w:rsidRPr="00303999">
        <w:rPr>
          <w:rFonts w:ascii="Verdana" w:hAnsi="Verdana"/>
        </w:rPr>
        <w:t>Juíza de</w:t>
      </w:r>
      <w:r w:rsidR="00585243" w:rsidRPr="00303999">
        <w:rPr>
          <w:rFonts w:ascii="Verdana" w:hAnsi="Verdana"/>
        </w:rPr>
        <w:t xml:space="preserve"> Direito da Vara Única, do Foro de Bananal, Estado de São Paulo, Dr</w:t>
      </w:r>
      <w:r w:rsidRPr="00303999">
        <w:rPr>
          <w:rFonts w:ascii="Verdana" w:hAnsi="Verdana"/>
        </w:rPr>
        <w:t>a</w:t>
      </w:r>
      <w:r w:rsidR="00585243" w:rsidRPr="00303999">
        <w:rPr>
          <w:rFonts w:ascii="Verdana" w:hAnsi="Verdana"/>
        </w:rPr>
        <w:t>. L</w:t>
      </w:r>
      <w:r w:rsidRPr="00303999">
        <w:rPr>
          <w:rFonts w:ascii="Verdana" w:hAnsi="Verdana"/>
        </w:rPr>
        <w:t>uciene Belan Ferreira Allemand</w:t>
      </w:r>
      <w:r w:rsidR="00585243" w:rsidRPr="00303999">
        <w:rPr>
          <w:rFonts w:ascii="Verdana" w:hAnsi="Verdana"/>
        </w:rPr>
        <w:t>, na forma da Lei, etc.</w:t>
      </w:r>
    </w:p>
    <w:p w14:paraId="48E1B53F" w14:textId="77777777" w:rsidR="00EB0F52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Faz Saber que o Leiloeiro Oficial, Sr. Irani Flores, JUCESP 792, levará a </w:t>
      </w:r>
      <w:r w:rsidR="008076C5" w:rsidRPr="00303999">
        <w:rPr>
          <w:rFonts w:ascii="Verdana" w:hAnsi="Verdana"/>
        </w:rPr>
        <w:t>leilão público</w:t>
      </w:r>
      <w:r w:rsidRPr="00303999">
        <w:rPr>
          <w:rFonts w:ascii="Verdana" w:hAnsi="Verdana"/>
        </w:rPr>
        <w:t xml:space="preserve"> para venda e arrematação, no local e hora descritos no site, </w:t>
      </w:r>
      <w:r w:rsidR="008076C5" w:rsidRPr="00303999">
        <w:rPr>
          <w:rFonts w:ascii="Verdana" w:hAnsi="Verdana"/>
        </w:rPr>
        <w:t>com transmissão</w:t>
      </w:r>
      <w:r w:rsidRPr="00303999">
        <w:rPr>
          <w:rFonts w:ascii="Verdana" w:hAnsi="Verdana"/>
        </w:rPr>
        <w:t xml:space="preserve"> pela internet e disponibilização imediata n</w:t>
      </w:r>
      <w:r w:rsidR="00EB0F52" w:rsidRPr="00303999">
        <w:rPr>
          <w:rFonts w:ascii="Verdana" w:hAnsi="Verdana"/>
        </w:rPr>
        <w:t xml:space="preserve">a plataforma </w:t>
      </w:r>
      <w:r w:rsidRPr="00303999">
        <w:rPr>
          <w:rFonts w:ascii="Verdana" w:hAnsi="Verdana"/>
        </w:rPr>
        <w:t xml:space="preserve"> de </w:t>
      </w:r>
      <w:r w:rsidR="008076C5" w:rsidRPr="00303999">
        <w:rPr>
          <w:rFonts w:ascii="Verdana" w:hAnsi="Verdana"/>
        </w:rPr>
        <w:t>leilões eletrônicos</w:t>
      </w:r>
      <w:r w:rsidRPr="00303999">
        <w:rPr>
          <w:rFonts w:ascii="Verdana" w:hAnsi="Verdana"/>
        </w:rPr>
        <w:t xml:space="preserve">, </w:t>
      </w:r>
      <w:hyperlink r:id="rId4" w:history="1">
        <w:r w:rsidR="00EB0F52" w:rsidRPr="00303999">
          <w:rPr>
            <w:rStyle w:val="Hyperlink"/>
            <w:rFonts w:ascii="Verdana" w:hAnsi="Verdana"/>
          </w:rPr>
          <w:t>www.leilaobrasil.com.br</w:t>
        </w:r>
      </w:hyperlink>
      <w:r w:rsidRPr="00303999">
        <w:rPr>
          <w:rFonts w:ascii="Verdana" w:hAnsi="Verdana"/>
        </w:rPr>
        <w:t>.</w:t>
      </w:r>
    </w:p>
    <w:p w14:paraId="15F30FC6" w14:textId="77777777" w:rsidR="006201AF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Do início e encerramento do Leilão: Início do 1° leilão em </w:t>
      </w:r>
      <w:r w:rsidR="001F4C22">
        <w:rPr>
          <w:rFonts w:ascii="Verdana" w:hAnsi="Verdana"/>
        </w:rPr>
        <w:t>19/11</w:t>
      </w:r>
      <w:r w:rsidR="00406923">
        <w:rPr>
          <w:rFonts w:ascii="Verdana" w:hAnsi="Verdana"/>
        </w:rPr>
        <w:t>/2026</w:t>
      </w:r>
      <w:r w:rsidRPr="00303999">
        <w:rPr>
          <w:rFonts w:ascii="Verdana" w:hAnsi="Verdana"/>
        </w:rPr>
        <w:t xml:space="preserve"> às 10:</w:t>
      </w:r>
      <w:r w:rsidR="001F4C22">
        <w:rPr>
          <w:rFonts w:ascii="Verdana" w:hAnsi="Verdana"/>
        </w:rPr>
        <w:t>15</w:t>
      </w:r>
      <w:r w:rsidRPr="00303999">
        <w:rPr>
          <w:rFonts w:ascii="Verdana" w:hAnsi="Verdana"/>
        </w:rPr>
        <w:t xml:space="preserve"> horas e encerramento do 1° leilão em </w:t>
      </w:r>
      <w:r w:rsidR="001F4C22">
        <w:rPr>
          <w:rFonts w:ascii="Verdana" w:hAnsi="Verdana"/>
        </w:rPr>
        <w:t>23/11</w:t>
      </w:r>
      <w:r w:rsidR="00406923">
        <w:rPr>
          <w:rFonts w:ascii="Verdana" w:hAnsi="Verdana"/>
        </w:rPr>
        <w:t>/2026</w:t>
      </w:r>
      <w:r w:rsidRPr="00303999">
        <w:rPr>
          <w:rFonts w:ascii="Verdana" w:hAnsi="Verdana"/>
        </w:rPr>
        <w:t xml:space="preserve"> às 10:</w:t>
      </w:r>
      <w:r w:rsidR="001F4C22">
        <w:rPr>
          <w:rFonts w:ascii="Verdana" w:hAnsi="Verdana"/>
        </w:rPr>
        <w:t>15</w:t>
      </w:r>
      <w:r w:rsidRPr="00303999">
        <w:rPr>
          <w:rFonts w:ascii="Verdana" w:hAnsi="Verdana"/>
        </w:rPr>
        <w:t xml:space="preserve"> horas, em não  havendo lance igual ou superior ao valor da avaliação atualizada para a data  supra, seguir-se-á sem interrupção o 2° leilão que se encerrará em </w:t>
      </w:r>
      <w:r w:rsidR="001F4C22">
        <w:rPr>
          <w:rFonts w:ascii="Verdana" w:hAnsi="Verdana"/>
        </w:rPr>
        <w:t>14/12</w:t>
      </w:r>
      <w:r w:rsidR="00406923">
        <w:rPr>
          <w:rFonts w:ascii="Verdana" w:hAnsi="Verdana"/>
        </w:rPr>
        <w:t>/2026</w:t>
      </w:r>
      <w:r w:rsidRPr="00303999">
        <w:rPr>
          <w:rFonts w:ascii="Verdana" w:hAnsi="Verdana"/>
        </w:rPr>
        <w:t xml:space="preserve">  às 10:</w:t>
      </w:r>
      <w:r w:rsidR="001F4C22">
        <w:rPr>
          <w:rFonts w:ascii="Verdana" w:hAnsi="Verdana"/>
        </w:rPr>
        <w:t>15</w:t>
      </w:r>
      <w:r w:rsidRPr="00303999">
        <w:rPr>
          <w:rFonts w:ascii="Verdana" w:hAnsi="Verdana"/>
        </w:rPr>
        <w:t xml:space="preserve"> horas, não sendo aceito lances inferiores a 60% do valor da avaliação  para a data da abertura do leilão, que deverá ser efetuado diretamente no sistema  gestor através da internet.</w:t>
      </w:r>
    </w:p>
    <w:p w14:paraId="28B0E943" w14:textId="77777777" w:rsidR="008076C5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>Bens: Lote 1</w:t>
      </w:r>
      <w:r w:rsidR="008076C5" w:rsidRPr="00303999">
        <w:rPr>
          <w:rFonts w:ascii="Verdana" w:hAnsi="Verdana"/>
        </w:rPr>
        <w:t>) Dez</w:t>
      </w:r>
      <w:r w:rsidRPr="00303999">
        <w:rPr>
          <w:rFonts w:ascii="Verdana" w:hAnsi="Verdana"/>
        </w:rPr>
        <w:t xml:space="preserve"> cabeças de gado bovino, tipo gado falhado (não produz </w:t>
      </w:r>
      <w:r w:rsidR="008076C5" w:rsidRPr="00303999">
        <w:rPr>
          <w:rFonts w:ascii="Verdana" w:hAnsi="Verdana"/>
        </w:rPr>
        <w:t>mais leite</w:t>
      </w:r>
      <w:r w:rsidRPr="00303999">
        <w:rPr>
          <w:rFonts w:ascii="Verdana" w:hAnsi="Verdana"/>
        </w:rPr>
        <w:t xml:space="preserve"> e serve somente para o abate), com 6 anos de idade, com peso médio </w:t>
      </w:r>
      <w:r w:rsidR="008076C5" w:rsidRPr="00303999">
        <w:rPr>
          <w:rFonts w:ascii="Verdana" w:hAnsi="Verdana"/>
        </w:rPr>
        <w:t>por animal</w:t>
      </w:r>
      <w:r w:rsidRPr="00303999">
        <w:rPr>
          <w:rFonts w:ascii="Verdana" w:hAnsi="Verdana"/>
        </w:rPr>
        <w:t xml:space="preserve"> de cerca de 12 arrobas.  Avaliação: R$ 16.800,00 (setembro/2024). Lote 2</w:t>
      </w:r>
      <w:r w:rsidR="006201AF" w:rsidRPr="00303999">
        <w:rPr>
          <w:rFonts w:ascii="Verdana" w:hAnsi="Verdana"/>
        </w:rPr>
        <w:t>)</w:t>
      </w:r>
      <w:r w:rsidRPr="00303999">
        <w:rPr>
          <w:rFonts w:ascii="Verdana" w:hAnsi="Verdana"/>
        </w:rPr>
        <w:t xml:space="preserve"> Vinte cabeças de gado bovino, tipo vacas leiteiras (produzindo </w:t>
      </w:r>
      <w:r w:rsidR="008076C5" w:rsidRPr="00303999">
        <w:rPr>
          <w:rFonts w:ascii="Verdana" w:hAnsi="Verdana"/>
        </w:rPr>
        <w:t>uma média</w:t>
      </w:r>
      <w:r w:rsidRPr="00303999">
        <w:rPr>
          <w:rFonts w:ascii="Verdana" w:hAnsi="Verdana"/>
        </w:rPr>
        <w:t xml:space="preserve"> de 15 litros de leite diariamente/cada), com 6 anos de idade.  Avaliação: R$ 100.000,00 (setembro/2024). Local dos bens/Penhora: Sítio </w:t>
      </w:r>
      <w:r w:rsidRPr="00303999">
        <w:rPr>
          <w:rFonts w:ascii="Verdana" w:hAnsi="Verdana"/>
        </w:rPr>
        <w:lastRenderedPageBreak/>
        <w:t>Pitangueiras, SN, Zona Rural, Rancho Grande, CEP  12850-000, Bananal/SP. Depositária: Marta Maria de Oliveira Fontes.</w:t>
      </w:r>
    </w:p>
    <w:p w14:paraId="25F16A03" w14:textId="77777777" w:rsidR="008076C5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>Total da Avaliação R$ 116.800,00 (setembro/2024)</w:t>
      </w:r>
      <w:r w:rsidR="008076C5" w:rsidRPr="00303999">
        <w:rPr>
          <w:rFonts w:ascii="Verdana" w:hAnsi="Verdana"/>
        </w:rPr>
        <w:t>.</w:t>
      </w:r>
    </w:p>
    <w:p w14:paraId="397CB12F" w14:textId="77777777" w:rsidR="008076C5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Quem pode ofertar lances: É permitido a todos interessados fazer </w:t>
      </w:r>
      <w:r w:rsidR="008076C5" w:rsidRPr="00303999">
        <w:rPr>
          <w:rFonts w:ascii="Verdana" w:hAnsi="Verdana"/>
        </w:rPr>
        <w:t>lances diretamente</w:t>
      </w:r>
      <w:r w:rsidRPr="00303999">
        <w:rPr>
          <w:rFonts w:ascii="Verdana" w:hAnsi="Verdana"/>
        </w:rPr>
        <w:t xml:space="preserve"> no sistema gestor, desde que, cadastrado e habilitado com </w:t>
      </w:r>
      <w:r w:rsidR="008076C5" w:rsidRPr="00303999">
        <w:rPr>
          <w:rFonts w:ascii="Verdana" w:hAnsi="Verdana"/>
        </w:rPr>
        <w:t>no mínimo</w:t>
      </w:r>
      <w:r w:rsidRPr="00303999">
        <w:rPr>
          <w:rFonts w:ascii="Verdana" w:hAnsi="Verdana"/>
        </w:rPr>
        <w:t xml:space="preserve"> 24 horas que antecedem o encerramento do leilão; exceto os que </w:t>
      </w:r>
      <w:r w:rsidR="008076C5" w:rsidRPr="00303999">
        <w:rPr>
          <w:rFonts w:ascii="Verdana" w:hAnsi="Verdana"/>
        </w:rPr>
        <w:t>se enquadrem</w:t>
      </w:r>
      <w:r w:rsidRPr="00303999">
        <w:rPr>
          <w:rFonts w:ascii="Verdana" w:hAnsi="Verdana"/>
        </w:rPr>
        <w:t xml:space="preserve"> no art. 890 do CPC ainda que cadastrados e habilitados no sistema.</w:t>
      </w:r>
    </w:p>
    <w:p w14:paraId="7FA62579" w14:textId="77777777" w:rsidR="008076C5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Da Prorrogação do Leilão: Sobrevindo lance a menos de três minutos para </w:t>
      </w:r>
      <w:r w:rsidR="008076C5" w:rsidRPr="00303999">
        <w:rPr>
          <w:rFonts w:ascii="Verdana" w:hAnsi="Verdana"/>
        </w:rPr>
        <w:t>o enceramento</w:t>
      </w:r>
      <w:r w:rsidRPr="00303999">
        <w:rPr>
          <w:rFonts w:ascii="Verdana" w:hAnsi="Verdana"/>
        </w:rPr>
        <w:t xml:space="preserve">, o sistema prorrogará automaticamente por mais três </w:t>
      </w:r>
      <w:r w:rsidR="008076C5" w:rsidRPr="00303999">
        <w:rPr>
          <w:rFonts w:ascii="Verdana" w:hAnsi="Verdana"/>
        </w:rPr>
        <w:t>minutos sucessivamente</w:t>
      </w:r>
      <w:r w:rsidRPr="00303999">
        <w:rPr>
          <w:rFonts w:ascii="Verdana" w:hAnsi="Verdana"/>
        </w:rPr>
        <w:t xml:space="preserve"> para que todos tenham as mesmas chances.</w:t>
      </w:r>
    </w:p>
    <w:p w14:paraId="23F88526" w14:textId="77777777" w:rsidR="008076C5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Da Comissão: A comissão do leiloeiro será de 5% sobre o valor da </w:t>
      </w:r>
      <w:r w:rsidR="008076C5" w:rsidRPr="00303999">
        <w:rPr>
          <w:rFonts w:ascii="Verdana" w:hAnsi="Verdana"/>
        </w:rPr>
        <w:t>arrematação, não</w:t>
      </w:r>
      <w:r w:rsidRPr="00303999">
        <w:rPr>
          <w:rFonts w:ascii="Verdana" w:hAnsi="Verdana"/>
        </w:rPr>
        <w:t xml:space="preserve"> estando incluída no valor da arrematação e deverá ser paga diretamente </w:t>
      </w:r>
      <w:r w:rsidR="008076C5" w:rsidRPr="00303999">
        <w:rPr>
          <w:rFonts w:ascii="Verdana" w:hAnsi="Verdana"/>
        </w:rPr>
        <w:t>ao Leiloeiro</w:t>
      </w:r>
      <w:r w:rsidRPr="00303999">
        <w:rPr>
          <w:rFonts w:ascii="Verdana" w:hAnsi="Verdana"/>
        </w:rPr>
        <w:t>.</w:t>
      </w:r>
    </w:p>
    <w:p w14:paraId="1018D5C1" w14:textId="77777777" w:rsidR="008076C5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>Da Adjudicação: Condicionada aos termos do art. 876 e 892, §</w:t>
      </w:r>
      <w:r w:rsidR="008076C5" w:rsidRPr="00303999">
        <w:rPr>
          <w:rFonts w:ascii="Verdana" w:hAnsi="Verdana"/>
        </w:rPr>
        <w:t xml:space="preserve"> </w:t>
      </w:r>
      <w:r w:rsidRPr="00303999">
        <w:rPr>
          <w:rFonts w:ascii="Verdana" w:hAnsi="Verdana"/>
        </w:rPr>
        <w:t xml:space="preserve">1° do </w:t>
      </w:r>
      <w:r w:rsidR="008076C5" w:rsidRPr="00303999">
        <w:rPr>
          <w:rFonts w:ascii="Verdana" w:hAnsi="Verdana"/>
        </w:rPr>
        <w:t>código de processo civil.</w:t>
      </w:r>
    </w:p>
    <w:p w14:paraId="23CD0383" w14:textId="77777777" w:rsidR="00A560B0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Do pagamento: O arrematante terá o prazo de 24 horas para efetuar o </w:t>
      </w:r>
      <w:r w:rsidR="008076C5" w:rsidRPr="00303999">
        <w:rPr>
          <w:rFonts w:ascii="Verdana" w:hAnsi="Verdana"/>
        </w:rPr>
        <w:t>pagamento da</w:t>
      </w:r>
      <w:r w:rsidRPr="00303999">
        <w:rPr>
          <w:rFonts w:ascii="Verdana" w:hAnsi="Verdana"/>
        </w:rPr>
        <w:t xml:space="preserve"> arrematação e da comissão.</w:t>
      </w:r>
    </w:p>
    <w:p w14:paraId="0B0C8D7D" w14:textId="77777777" w:rsidR="00A560B0" w:rsidRPr="00303999" w:rsidRDefault="00A560B0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Do pagamento parcelado: O parcelamento da arrematação dar-se-á nos termos da Lei; não sendo aceitos  valor inferior a 25% do valor do lance ofertado para pagamento e vista e prazo superior a 30 parcelas mensais e consecutivas, Artigo 895, §2°, §7° e §8°, todos do CPC,  Artigo 14 e 22 da Resolução 236/2016 do CNJ e artigo 264 da NSCGJ 16/2025 compreendendo a ampla divulgação e transparência necessárias ao judiciário; podendo  o interessado ofertar “Real Time dentro do Auditório Virtual”, valor e quantidade de parcelas diferente para cada lance ofertado. As guias para </w:t>
      </w:r>
      <w:r w:rsidRPr="00303999">
        <w:rPr>
          <w:rFonts w:ascii="Verdana" w:hAnsi="Verdana"/>
        </w:rPr>
        <w:lastRenderedPageBreak/>
        <w:t>pagamento das parcelas mensais deverão ser geradas pelo próprio arrematante diretamente no site do Tribunal. O interessado deverá atentar para o disposto nos demais parágrafos do artigo 895 quanto ao valor da parcela mensal, do vencimento,  das garantias, da atualização mensal das parcelas vincendas e da decisão exarada pelo MM. Juiz nos autos.</w:t>
      </w:r>
    </w:p>
    <w:p w14:paraId="7B9CA02A" w14:textId="77777777" w:rsidR="00A560B0" w:rsidRPr="00303999" w:rsidRDefault="00A560B0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42B96E75" w14:textId="77777777" w:rsidR="00A560B0" w:rsidRPr="00303999" w:rsidRDefault="00A560B0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 Caberá também ao arrematante juntar comprovantes,  solicitar as baixas de gravames e outras restrições que recaiam sobre o bem arrematado diretamente ao órgão competente.</w:t>
      </w:r>
    </w:p>
    <w:p w14:paraId="5ECF5A70" w14:textId="77777777" w:rsidR="00A560B0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>Dos autos não consta recursos ou causa pendente de julgamento.</w:t>
      </w:r>
    </w:p>
    <w:p w14:paraId="53CD7605" w14:textId="77777777" w:rsidR="00A560B0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Da Carta de arrematação: A carta de arrematação será expedida pela MMª. </w:t>
      </w:r>
      <w:r w:rsidR="008076C5" w:rsidRPr="00303999">
        <w:rPr>
          <w:rFonts w:ascii="Verdana" w:hAnsi="Verdana"/>
        </w:rPr>
        <w:t>Juiz nos</w:t>
      </w:r>
      <w:r w:rsidRPr="00303999">
        <w:rPr>
          <w:rFonts w:ascii="Verdana" w:hAnsi="Verdana"/>
        </w:rPr>
        <w:t xml:space="preserve"> termos dos art. 901 e 903 do </w:t>
      </w:r>
      <w:r w:rsidR="00A560B0" w:rsidRPr="00303999">
        <w:rPr>
          <w:rFonts w:ascii="Verdana" w:hAnsi="Verdana"/>
        </w:rPr>
        <w:t>código de processo civil.</w:t>
      </w:r>
    </w:p>
    <w:p w14:paraId="0C3576E9" w14:textId="77777777" w:rsidR="00A560B0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t xml:space="preserve">Dúvidas e Esclarecimentos: pessoalmente perante o Ofício Cível, ou no </w:t>
      </w:r>
      <w:r w:rsidR="008076C5" w:rsidRPr="00303999">
        <w:rPr>
          <w:rFonts w:ascii="Verdana" w:hAnsi="Verdana"/>
        </w:rPr>
        <w:t>escritório do</w:t>
      </w:r>
      <w:r w:rsidRPr="00303999">
        <w:rPr>
          <w:rFonts w:ascii="Verdana" w:hAnsi="Verdana"/>
        </w:rPr>
        <w:t xml:space="preserve"> Leiloeiro Oficial, Sr. Irani Flores, Avenida Paulista n° 2421, 2° andar, SP </w:t>
      </w:r>
      <w:r w:rsidR="008076C5" w:rsidRPr="00303999">
        <w:rPr>
          <w:rFonts w:ascii="Verdana" w:hAnsi="Verdana"/>
        </w:rPr>
        <w:t>- Capital</w:t>
      </w:r>
      <w:r w:rsidRPr="00303999">
        <w:rPr>
          <w:rFonts w:ascii="Verdana" w:hAnsi="Verdana"/>
        </w:rPr>
        <w:t xml:space="preserve">, ou ainda, pelo telefone (55 11) 3965-0000 / Whats App (55 11) 95662-5151, e e-mail: </w:t>
      </w:r>
      <w:hyperlink r:id="rId5" w:history="1">
        <w:r w:rsidR="00A560B0" w:rsidRPr="00303999">
          <w:rPr>
            <w:rStyle w:val="Hyperlink"/>
            <w:rFonts w:ascii="Verdana" w:hAnsi="Verdana"/>
          </w:rPr>
          <w:t>atendimento@leilaobrasil.com.br</w:t>
        </w:r>
      </w:hyperlink>
      <w:r w:rsidRPr="00303999">
        <w:rPr>
          <w:rFonts w:ascii="Verdana" w:hAnsi="Verdana"/>
        </w:rPr>
        <w:t>.</w:t>
      </w:r>
    </w:p>
    <w:p w14:paraId="7A1F7AFE" w14:textId="77777777" w:rsidR="00585243" w:rsidRPr="00303999" w:rsidRDefault="00585243" w:rsidP="00303999">
      <w:pPr>
        <w:spacing w:line="360" w:lineRule="auto"/>
        <w:ind w:right="-1"/>
        <w:rPr>
          <w:rFonts w:ascii="Verdana" w:hAnsi="Verdana"/>
        </w:rPr>
      </w:pPr>
      <w:r w:rsidRPr="00303999">
        <w:rPr>
          <w:rFonts w:ascii="Verdana" w:hAnsi="Verdana"/>
        </w:rPr>
        <w:lastRenderedPageBreak/>
        <w:t xml:space="preserve">Ficam os executados, bem como eventuais interessados, INTIMADOS </w:t>
      </w:r>
      <w:r w:rsidR="008076C5" w:rsidRPr="00303999">
        <w:rPr>
          <w:rFonts w:ascii="Verdana" w:hAnsi="Verdana"/>
        </w:rPr>
        <w:t>das designações</w:t>
      </w:r>
      <w:r w:rsidRPr="00303999">
        <w:rPr>
          <w:rFonts w:ascii="Verdana" w:hAnsi="Verdana"/>
        </w:rPr>
        <w:t xml:space="preserve"> supra, caso não sejam localizados para as intimações pessoais, </w:t>
      </w:r>
      <w:r w:rsidR="008076C5" w:rsidRPr="00303999">
        <w:rPr>
          <w:rFonts w:ascii="Verdana" w:hAnsi="Verdana"/>
        </w:rPr>
        <w:t>será o</w:t>
      </w:r>
      <w:r w:rsidRPr="00303999">
        <w:rPr>
          <w:rFonts w:ascii="Verdana" w:hAnsi="Verdana"/>
        </w:rPr>
        <w:t xml:space="preserve"> edital “por extrato”, afixado e publicado na forma da lei, Provimento CGJ n°   32/2018, art. 428.1.2, e art. 887, §</w:t>
      </w:r>
      <w:r w:rsidR="00A560B0" w:rsidRPr="00303999">
        <w:rPr>
          <w:rFonts w:ascii="Verdana" w:hAnsi="Verdana"/>
        </w:rPr>
        <w:t xml:space="preserve"> </w:t>
      </w:r>
      <w:r w:rsidRPr="00303999">
        <w:rPr>
          <w:rFonts w:ascii="Verdana" w:hAnsi="Verdana"/>
        </w:rPr>
        <w:t xml:space="preserve">2° do CPC.  NADA MAIS. Dado e passado nesta cidade de Bananal, </w:t>
      </w:r>
      <w:r w:rsidR="00156A4D" w:rsidRPr="00303999">
        <w:rPr>
          <w:rFonts w:ascii="Verdana" w:hAnsi="Verdana"/>
        </w:rPr>
        <w:t>08/09</w:t>
      </w:r>
      <w:r w:rsidR="0035478F" w:rsidRPr="00303999">
        <w:rPr>
          <w:rFonts w:ascii="Verdana" w:hAnsi="Verdana"/>
        </w:rPr>
        <w:t>/2025</w:t>
      </w:r>
    </w:p>
    <w:p w14:paraId="24BE64E0" w14:textId="77777777" w:rsidR="00890A30" w:rsidRPr="00303999" w:rsidRDefault="00890A30" w:rsidP="00303999">
      <w:pPr>
        <w:spacing w:line="360" w:lineRule="auto"/>
        <w:ind w:right="-1"/>
        <w:rPr>
          <w:rFonts w:ascii="Verdana" w:hAnsi="Verdana"/>
        </w:rPr>
      </w:pPr>
    </w:p>
    <w:sectPr w:rsidR="00890A30" w:rsidRPr="00303999" w:rsidSect="00303999">
      <w:pgSz w:w="11906" w:h="16838"/>
      <w:pgMar w:top="1417" w:right="1700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43"/>
    <w:rsid w:val="00156A4D"/>
    <w:rsid w:val="001F0A47"/>
    <w:rsid w:val="001F4C22"/>
    <w:rsid w:val="00303999"/>
    <w:rsid w:val="0035478F"/>
    <w:rsid w:val="00406923"/>
    <w:rsid w:val="00447860"/>
    <w:rsid w:val="0048627B"/>
    <w:rsid w:val="004F0473"/>
    <w:rsid w:val="005273A6"/>
    <w:rsid w:val="00585243"/>
    <w:rsid w:val="0060174A"/>
    <w:rsid w:val="006201AF"/>
    <w:rsid w:val="006538C2"/>
    <w:rsid w:val="007A004B"/>
    <w:rsid w:val="008024B4"/>
    <w:rsid w:val="008076C5"/>
    <w:rsid w:val="0081044E"/>
    <w:rsid w:val="00890A30"/>
    <w:rsid w:val="008C1974"/>
    <w:rsid w:val="008C4EBD"/>
    <w:rsid w:val="009F0052"/>
    <w:rsid w:val="00A560B0"/>
    <w:rsid w:val="00B22D6D"/>
    <w:rsid w:val="00BB5F66"/>
    <w:rsid w:val="00D6578E"/>
    <w:rsid w:val="00EA7A52"/>
    <w:rsid w:val="00EB0F52"/>
    <w:rsid w:val="00F90308"/>
    <w:rsid w:val="00FA1B9E"/>
    <w:rsid w:val="00FA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0E01"/>
  <w15:chartTrackingRefBased/>
  <w15:docId w15:val="{CF937E4C-CC69-4077-87A6-475B33A1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243"/>
    <w:pPr>
      <w:spacing w:after="253" w:line="249" w:lineRule="auto"/>
      <w:ind w:left="10" w:right="587" w:hanging="10"/>
      <w:jc w:val="both"/>
    </w:pPr>
    <w:rPr>
      <w:rFonts w:ascii="Times New Roman" w:eastAsia="Times New Roman" w:hAnsi="Times New Roman"/>
      <w:color w:val="000000"/>
      <w:kern w:val="2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85243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="Aptos Display" w:hAnsi="Aptos Display"/>
      <w:color w:val="0F4761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5243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="Aptos Display" w:hAnsi="Aptos Display"/>
      <w:color w:val="0F4761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5243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="Aptos" w:hAnsi="Aptos"/>
      <w:color w:val="0F4761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5243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="Aptos" w:hAnsi="Aptos"/>
      <w:i/>
      <w:iCs/>
      <w:color w:val="0F4761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5243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="Aptos" w:hAnsi="Aptos"/>
      <w:color w:val="0F4761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5243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="Aptos" w:hAnsi="Aptos"/>
      <w:i/>
      <w:iCs/>
      <w:color w:val="595959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5243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="Aptos" w:hAnsi="Aptos"/>
      <w:color w:val="595959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5243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="Aptos" w:hAnsi="Aptos"/>
      <w:i/>
      <w:iCs/>
      <w:color w:val="272727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5243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="Aptos" w:hAnsi="Aptos"/>
      <w:color w:val="272727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585243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585243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585243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585243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585243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585243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585243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585243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585243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585243"/>
    <w:pPr>
      <w:spacing w:after="80" w:line="240" w:lineRule="auto"/>
      <w:ind w:left="0" w:right="0" w:firstLine="0"/>
      <w:contextualSpacing/>
      <w:jc w:val="left"/>
    </w:pPr>
    <w:rPr>
      <w:rFonts w:ascii="Aptos Display" w:hAnsi="Aptos Display"/>
      <w:color w:val="auto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link w:val="Ttulo"/>
    <w:uiPriority w:val="10"/>
    <w:rsid w:val="00585243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5243"/>
    <w:pPr>
      <w:numPr>
        <w:ilvl w:val="1"/>
      </w:numPr>
      <w:spacing w:after="160" w:line="278" w:lineRule="auto"/>
      <w:ind w:left="10" w:right="0" w:hanging="10"/>
      <w:jc w:val="left"/>
    </w:pPr>
    <w:rPr>
      <w:rFonts w:ascii="Aptos" w:hAnsi="Aptos"/>
      <w:color w:val="595959"/>
      <w:spacing w:val="15"/>
      <w:sz w:val="28"/>
      <w:szCs w:val="28"/>
      <w:lang w:eastAsia="en-US"/>
    </w:rPr>
  </w:style>
  <w:style w:type="character" w:customStyle="1" w:styleId="SubttuloChar">
    <w:name w:val="Subtítulo Char"/>
    <w:link w:val="Subttulo"/>
    <w:uiPriority w:val="11"/>
    <w:rsid w:val="00585243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5243"/>
    <w:pPr>
      <w:spacing w:before="160" w:after="160" w:line="278" w:lineRule="auto"/>
      <w:ind w:left="0" w:right="0" w:firstLine="0"/>
      <w:jc w:val="center"/>
    </w:pPr>
    <w:rPr>
      <w:rFonts w:ascii="Aptos" w:eastAsia="Aptos" w:hAnsi="Aptos"/>
      <w:i/>
      <w:iCs/>
      <w:color w:val="404040"/>
      <w:lang w:eastAsia="en-US"/>
    </w:rPr>
  </w:style>
  <w:style w:type="character" w:customStyle="1" w:styleId="CitaoChar">
    <w:name w:val="Citação Char"/>
    <w:link w:val="Citao"/>
    <w:uiPriority w:val="29"/>
    <w:rsid w:val="00585243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585243"/>
    <w:pPr>
      <w:spacing w:after="160" w:line="278" w:lineRule="auto"/>
      <w:ind w:left="720" w:right="0" w:firstLine="0"/>
      <w:contextualSpacing/>
      <w:jc w:val="left"/>
    </w:pPr>
    <w:rPr>
      <w:rFonts w:ascii="Aptos" w:eastAsia="Aptos" w:hAnsi="Aptos"/>
      <w:color w:val="auto"/>
      <w:lang w:eastAsia="en-US"/>
    </w:rPr>
  </w:style>
  <w:style w:type="character" w:styleId="nfaseIntensa">
    <w:name w:val="Intense Emphasis"/>
    <w:uiPriority w:val="21"/>
    <w:qFormat/>
    <w:rsid w:val="00585243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5243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 w:firstLine="0"/>
      <w:jc w:val="center"/>
    </w:pPr>
    <w:rPr>
      <w:rFonts w:ascii="Aptos" w:eastAsia="Aptos" w:hAnsi="Aptos"/>
      <w:i/>
      <w:iCs/>
      <w:color w:val="0F4761"/>
      <w:lang w:eastAsia="en-US"/>
    </w:rPr>
  </w:style>
  <w:style w:type="character" w:customStyle="1" w:styleId="CitaoIntensaChar">
    <w:name w:val="Citação Intensa Char"/>
    <w:link w:val="CitaoIntensa"/>
    <w:uiPriority w:val="30"/>
    <w:rsid w:val="00585243"/>
    <w:rPr>
      <w:i/>
      <w:iCs/>
      <w:color w:val="0F4761"/>
    </w:rPr>
  </w:style>
  <w:style w:type="character" w:styleId="RefernciaIntensa">
    <w:name w:val="Intense Reference"/>
    <w:uiPriority w:val="32"/>
    <w:qFormat/>
    <w:rsid w:val="00585243"/>
    <w:rPr>
      <w:b/>
      <w:bCs/>
      <w:smallCaps/>
      <w:color w:val="0F4761"/>
      <w:spacing w:val="5"/>
    </w:rPr>
  </w:style>
  <w:style w:type="paragraph" w:styleId="NormalWeb">
    <w:name w:val="Normal (Web)"/>
    <w:basedOn w:val="Normal"/>
    <w:uiPriority w:val="99"/>
    <w:unhideWhenUsed/>
    <w:rsid w:val="00A560B0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</w:rPr>
  </w:style>
  <w:style w:type="character" w:styleId="Forte">
    <w:name w:val="Strong"/>
    <w:uiPriority w:val="22"/>
    <w:qFormat/>
    <w:rsid w:val="00A560B0"/>
    <w:rPr>
      <w:b/>
      <w:bCs/>
    </w:rPr>
  </w:style>
  <w:style w:type="character" w:styleId="Hyperlink">
    <w:name w:val="Hyperlink"/>
    <w:uiPriority w:val="99"/>
    <w:unhideWhenUsed/>
    <w:rsid w:val="00A560B0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A56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4444</Characters>
  <Application>Microsoft Office Word</Application>
  <DocSecurity>4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cp:lastPrinted>2025-09-10T13:36:00Z</cp:lastPrinted>
  <dcterms:created xsi:type="dcterms:W3CDTF">2026-10-02T19:53:00Z</dcterms:created>
  <dcterms:modified xsi:type="dcterms:W3CDTF">2026-10-02T19:53:00Z</dcterms:modified>
</cp:coreProperties>
</file>